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56" w:rsidRPr="00455056" w:rsidRDefault="00455056" w:rsidP="00455056">
      <w:pPr>
        <w:spacing w:after="0" w:line="240" w:lineRule="auto"/>
        <w:jc w:val="center"/>
        <w:rPr>
          <w:rFonts w:ascii="Times New Roman" w:eastAsia="Times New Roman" w:hAnsi="Times New Roman" w:cs="Times New Roman"/>
          <w:b/>
          <w:bCs/>
          <w:color w:val="000000"/>
          <w:sz w:val="28"/>
          <w:szCs w:val="28"/>
          <w:shd w:val="clear" w:color="auto" w:fill="FFFFFF"/>
        </w:rPr>
      </w:pPr>
      <w:r w:rsidRPr="00455056">
        <w:rPr>
          <w:rFonts w:ascii="Times New Roman" w:eastAsia="Times New Roman" w:hAnsi="Times New Roman" w:cs="Times New Roman"/>
          <w:b/>
          <w:bCs/>
          <w:color w:val="000000"/>
          <w:sz w:val="28"/>
          <w:szCs w:val="28"/>
          <w:shd w:val="clear" w:color="auto" w:fill="FFFFFF"/>
        </w:rPr>
        <w:t>Доклад о правоприменительной практике Липецкого УФАС России</w:t>
      </w:r>
    </w:p>
    <w:p w:rsidR="00455056" w:rsidRPr="00455056" w:rsidRDefault="00455056" w:rsidP="00455056">
      <w:pPr>
        <w:spacing w:after="0" w:line="240" w:lineRule="auto"/>
        <w:jc w:val="center"/>
        <w:rPr>
          <w:rFonts w:ascii="Times New Roman" w:eastAsia="Times New Roman" w:hAnsi="Times New Roman" w:cs="Times New Roman"/>
          <w:b/>
          <w:bCs/>
          <w:color w:val="000000"/>
          <w:sz w:val="28"/>
          <w:szCs w:val="28"/>
          <w:shd w:val="clear" w:color="auto" w:fill="FFFFFF"/>
        </w:rPr>
      </w:pPr>
    </w:p>
    <w:p w:rsidR="00455056" w:rsidRPr="00455056" w:rsidRDefault="00455056" w:rsidP="00455056">
      <w:pPr>
        <w:spacing w:after="0" w:line="240" w:lineRule="auto"/>
        <w:jc w:val="center"/>
        <w:rPr>
          <w:rFonts w:ascii="Times New Roman" w:eastAsia="Times New Roman" w:hAnsi="Times New Roman" w:cs="Times New Roman"/>
          <w:b/>
          <w:bCs/>
          <w:color w:val="000000"/>
          <w:sz w:val="28"/>
          <w:szCs w:val="28"/>
          <w:shd w:val="clear" w:color="auto" w:fill="FFFFFF"/>
        </w:rPr>
      </w:pPr>
      <w:r w:rsidRPr="00455056">
        <w:rPr>
          <w:rFonts w:ascii="Times New Roman" w:eastAsia="Times New Roman" w:hAnsi="Times New Roman" w:cs="Times New Roman"/>
          <w:b/>
          <w:bCs/>
          <w:color w:val="000000"/>
          <w:sz w:val="28"/>
          <w:szCs w:val="28"/>
          <w:shd w:val="clear" w:color="auto" w:fill="FFFFFF"/>
        </w:rPr>
        <w:t xml:space="preserve"> "Практика применения антимонопольного законодательства (недобросовестная конкуренция) и законодательства о рекламе на территории региона за 2018 </w:t>
      </w:r>
      <w:r w:rsidR="00730211" w:rsidRPr="00455056">
        <w:rPr>
          <w:rFonts w:ascii="Times New Roman" w:eastAsia="Times New Roman" w:hAnsi="Times New Roman" w:cs="Times New Roman"/>
          <w:b/>
          <w:bCs/>
          <w:color w:val="000000"/>
          <w:sz w:val="28"/>
          <w:szCs w:val="28"/>
          <w:shd w:val="clear" w:color="auto" w:fill="FFFFFF"/>
        </w:rPr>
        <w:t>год,</w:t>
      </w:r>
      <w:r w:rsidRPr="00455056">
        <w:rPr>
          <w:rFonts w:ascii="Times New Roman" w:eastAsia="Times New Roman" w:hAnsi="Times New Roman" w:cs="Times New Roman"/>
          <w:b/>
          <w:bCs/>
          <w:color w:val="000000"/>
          <w:sz w:val="28"/>
          <w:szCs w:val="28"/>
          <w:shd w:val="clear" w:color="auto" w:fill="FFFFFF"/>
        </w:rPr>
        <w:t xml:space="preserve"> за 1 квартал 2019 года"</w:t>
      </w:r>
    </w:p>
    <w:p w:rsidR="00455056" w:rsidRPr="00455056" w:rsidRDefault="00455056" w:rsidP="00455056">
      <w:pPr>
        <w:spacing w:after="0" w:line="240" w:lineRule="auto"/>
        <w:jc w:val="center"/>
        <w:rPr>
          <w:rFonts w:ascii="Times New Roman" w:eastAsia="Times New Roman" w:hAnsi="Times New Roman" w:cs="Times New Roman"/>
          <w:b/>
          <w:bCs/>
          <w:color w:val="000000"/>
          <w:sz w:val="28"/>
          <w:szCs w:val="28"/>
          <w:shd w:val="clear" w:color="auto" w:fill="FFFFFF"/>
        </w:rPr>
      </w:pPr>
    </w:p>
    <w:p w:rsidR="00455056" w:rsidRPr="00455056" w:rsidRDefault="00455056" w:rsidP="00455056">
      <w:pPr>
        <w:spacing w:after="0" w:line="240" w:lineRule="auto"/>
        <w:jc w:val="center"/>
        <w:rPr>
          <w:rFonts w:ascii="Times New Roman" w:eastAsia="Times New Roman" w:hAnsi="Times New Roman" w:cs="Times New Roman"/>
          <w:bCs/>
          <w:color w:val="000000"/>
          <w:sz w:val="28"/>
          <w:szCs w:val="28"/>
          <w:shd w:val="clear" w:color="auto" w:fill="FFFFFF"/>
        </w:rPr>
      </w:pPr>
      <w:r w:rsidRPr="00455056">
        <w:rPr>
          <w:rFonts w:ascii="Times New Roman" w:eastAsia="Times New Roman" w:hAnsi="Times New Roman" w:cs="Times New Roman"/>
          <w:bCs/>
          <w:color w:val="000000"/>
          <w:sz w:val="28"/>
          <w:szCs w:val="28"/>
          <w:shd w:val="clear" w:color="auto" w:fill="FFFFFF"/>
        </w:rPr>
        <w:t xml:space="preserve"> </w:t>
      </w:r>
    </w:p>
    <w:p w:rsidR="00455056" w:rsidRPr="00455056" w:rsidRDefault="00455056" w:rsidP="00455056">
      <w:pPr>
        <w:spacing w:after="0" w:line="240" w:lineRule="auto"/>
        <w:jc w:val="center"/>
        <w:rPr>
          <w:rFonts w:ascii="Times New Roman" w:eastAsia="Times New Roman" w:hAnsi="Times New Roman" w:cs="Times New Roman"/>
          <w:bCs/>
          <w:color w:val="000000"/>
          <w:sz w:val="28"/>
          <w:szCs w:val="28"/>
          <w:shd w:val="clear" w:color="auto" w:fill="FFFFFF"/>
        </w:rPr>
      </w:pPr>
    </w:p>
    <w:p w:rsidR="00BF1A69" w:rsidRPr="00455056" w:rsidRDefault="00BF1A69" w:rsidP="00455056">
      <w:pPr>
        <w:spacing w:after="0" w:line="240" w:lineRule="auto"/>
        <w:ind w:firstLine="709"/>
        <w:jc w:val="center"/>
        <w:rPr>
          <w:rFonts w:ascii="Times New Roman" w:eastAsia="Times New Roman" w:hAnsi="Times New Roman" w:cs="Times New Roman"/>
          <w:b/>
          <w:bCs/>
          <w:color w:val="000000"/>
          <w:sz w:val="28"/>
          <w:szCs w:val="28"/>
          <w:shd w:val="clear" w:color="auto" w:fill="FFFFFF"/>
        </w:rPr>
      </w:pPr>
      <w:r w:rsidRPr="00455056">
        <w:rPr>
          <w:rFonts w:ascii="Times New Roman" w:eastAsia="Times New Roman" w:hAnsi="Times New Roman" w:cs="Times New Roman"/>
          <w:b/>
          <w:bCs/>
          <w:color w:val="000000"/>
          <w:sz w:val="28"/>
          <w:szCs w:val="28"/>
          <w:shd w:val="clear" w:color="auto" w:fill="FFFFFF"/>
        </w:rPr>
        <w:t>Контроль за соблюдением Федерального Закона «О рекламе»</w:t>
      </w:r>
    </w:p>
    <w:p w:rsidR="00BF1A69" w:rsidRPr="005B4785" w:rsidRDefault="00BF1A69" w:rsidP="00455056">
      <w:pPr>
        <w:spacing w:after="0" w:line="240" w:lineRule="auto"/>
        <w:ind w:firstLine="709"/>
        <w:jc w:val="both"/>
        <w:rPr>
          <w:rFonts w:ascii="Times New Roman" w:hAnsi="Times New Roman" w:cs="Times New Roman"/>
          <w:sz w:val="28"/>
          <w:szCs w:val="28"/>
        </w:rPr>
      </w:pPr>
    </w:p>
    <w:p w:rsidR="00630C51" w:rsidRPr="005B4785" w:rsidRDefault="00BF1A69" w:rsidP="00455056">
      <w:pPr>
        <w:spacing w:after="0" w:line="240" w:lineRule="auto"/>
        <w:ind w:firstLine="709"/>
        <w:jc w:val="both"/>
        <w:rPr>
          <w:rFonts w:ascii="Times New Roman" w:hAnsi="Times New Roman" w:cs="Times New Roman"/>
          <w:sz w:val="28"/>
          <w:szCs w:val="28"/>
        </w:rPr>
      </w:pPr>
      <w:r w:rsidRPr="005B4785">
        <w:rPr>
          <w:rFonts w:ascii="Times New Roman" w:eastAsia="Times New Roman" w:hAnsi="Times New Roman" w:cs="Times New Roman"/>
          <w:sz w:val="28"/>
          <w:szCs w:val="28"/>
        </w:rPr>
        <w:t>В 2018 году Липецким УФАС России было рассмотрено 102 обращения физических и юридических лиц по вопросам о нарушениях законодательства о рекламе, возбуждено 23 дела, в 21 из которых признаны вменяемые нарушения</w:t>
      </w:r>
      <w:r w:rsidR="00E02D65" w:rsidRPr="005B4785">
        <w:rPr>
          <w:rFonts w:ascii="Times New Roman" w:eastAsia="Times New Roman" w:hAnsi="Times New Roman" w:cs="Times New Roman"/>
          <w:sz w:val="28"/>
          <w:szCs w:val="28"/>
        </w:rPr>
        <w:t>,</w:t>
      </w:r>
      <w:r w:rsidRPr="005B4785">
        <w:rPr>
          <w:rFonts w:ascii="Times New Roman" w:eastAsia="Times New Roman" w:hAnsi="Times New Roman" w:cs="Times New Roman"/>
          <w:sz w:val="28"/>
          <w:szCs w:val="28"/>
        </w:rPr>
        <w:t xml:space="preserve"> </w:t>
      </w:r>
      <w:r w:rsidR="00E02D65" w:rsidRPr="005B4785">
        <w:rPr>
          <w:rFonts w:ascii="Times New Roman" w:eastAsia="Times New Roman" w:hAnsi="Times New Roman" w:cs="Times New Roman"/>
          <w:sz w:val="28"/>
          <w:szCs w:val="28"/>
        </w:rPr>
        <w:t xml:space="preserve">выдано </w:t>
      </w:r>
      <w:r w:rsidRPr="005B4785">
        <w:rPr>
          <w:rFonts w:ascii="Times New Roman" w:eastAsia="Times New Roman" w:hAnsi="Times New Roman" w:cs="Times New Roman"/>
          <w:sz w:val="28"/>
          <w:szCs w:val="28"/>
        </w:rPr>
        <w:t>1</w:t>
      </w:r>
      <w:r w:rsidR="00E02D65" w:rsidRPr="005B4785">
        <w:rPr>
          <w:rFonts w:ascii="Times New Roman" w:eastAsia="Times New Roman" w:hAnsi="Times New Roman" w:cs="Times New Roman"/>
          <w:sz w:val="28"/>
          <w:szCs w:val="28"/>
        </w:rPr>
        <w:t>2</w:t>
      </w:r>
      <w:r w:rsidRPr="005B4785">
        <w:rPr>
          <w:rFonts w:ascii="Times New Roman" w:eastAsia="Times New Roman" w:hAnsi="Times New Roman" w:cs="Times New Roman"/>
          <w:sz w:val="28"/>
          <w:szCs w:val="28"/>
        </w:rPr>
        <w:t xml:space="preserve"> предписаний (</w:t>
      </w:r>
      <w:r w:rsidR="00E02D65" w:rsidRPr="005B4785">
        <w:rPr>
          <w:rFonts w:ascii="Times New Roman" w:eastAsia="Times New Roman" w:hAnsi="Times New Roman" w:cs="Times New Roman"/>
          <w:sz w:val="28"/>
          <w:szCs w:val="28"/>
        </w:rPr>
        <w:t>9</w:t>
      </w:r>
      <w:r w:rsidRPr="005B4785">
        <w:rPr>
          <w:rFonts w:ascii="Times New Roman" w:eastAsia="Times New Roman" w:hAnsi="Times New Roman" w:cs="Times New Roman"/>
          <w:sz w:val="28"/>
          <w:szCs w:val="28"/>
        </w:rPr>
        <w:t xml:space="preserve"> исполнено).  </w:t>
      </w:r>
    </w:p>
    <w:p w:rsidR="001F1E15" w:rsidRPr="005B4785" w:rsidRDefault="00EA685C" w:rsidP="00455056">
      <w:pPr>
        <w:spacing w:after="0" w:line="240" w:lineRule="auto"/>
        <w:ind w:firstLine="709"/>
        <w:jc w:val="both"/>
        <w:rPr>
          <w:rFonts w:ascii="Times New Roman" w:hAnsi="Times New Roman" w:cs="Times New Roman"/>
          <w:sz w:val="28"/>
          <w:szCs w:val="28"/>
        </w:rPr>
      </w:pPr>
      <w:r w:rsidRPr="005B4785">
        <w:rPr>
          <w:rFonts w:ascii="Times New Roman" w:eastAsia="Calibri" w:hAnsi="Times New Roman" w:cs="Times New Roman"/>
          <w:sz w:val="28"/>
          <w:szCs w:val="28"/>
        </w:rPr>
        <w:t>При рассмотрении заявления было устано</w:t>
      </w:r>
      <w:bookmarkStart w:id="0" w:name="_GoBack"/>
      <w:bookmarkEnd w:id="0"/>
      <w:r w:rsidRPr="005B4785">
        <w:rPr>
          <w:rFonts w:ascii="Times New Roman" w:eastAsia="Calibri" w:hAnsi="Times New Roman" w:cs="Times New Roman"/>
          <w:sz w:val="28"/>
          <w:szCs w:val="28"/>
        </w:rPr>
        <w:t>влено, что р</w:t>
      </w:r>
      <w:r w:rsidR="001F1E15" w:rsidRPr="005B4785">
        <w:rPr>
          <w:rFonts w:ascii="Times New Roman" w:eastAsia="Calibri" w:hAnsi="Times New Roman" w:cs="Times New Roman"/>
          <w:sz w:val="28"/>
          <w:szCs w:val="28"/>
        </w:rPr>
        <w:t xml:space="preserve">еклама ЖК «Фрунзе 85», </w:t>
      </w:r>
      <w:r w:rsidR="001F1E15" w:rsidRPr="005B4785">
        <w:rPr>
          <w:rFonts w:ascii="Times New Roman" w:hAnsi="Times New Roman" w:cs="Times New Roman"/>
          <w:sz w:val="28"/>
          <w:szCs w:val="28"/>
        </w:rPr>
        <w:t xml:space="preserve">распространявшаяся на интернет-сайте ООО «КАПИТАЛ-ГРУПП» </w:t>
      </w:r>
      <w:hyperlink r:id="rId8" w:history="1">
        <w:r w:rsidR="001F1E15" w:rsidRPr="005B4785">
          <w:rPr>
            <w:rStyle w:val="a9"/>
            <w:rFonts w:ascii="Times New Roman" w:hAnsi="Times New Roman" w:cs="Times New Roman"/>
            <w:sz w:val="28"/>
            <w:szCs w:val="28"/>
          </w:rPr>
          <w:t>http://capital-group.pro</w:t>
        </w:r>
      </w:hyperlink>
      <w:r w:rsidRPr="005B4785">
        <w:rPr>
          <w:rStyle w:val="a9"/>
          <w:rFonts w:ascii="Times New Roman" w:hAnsi="Times New Roman" w:cs="Times New Roman"/>
          <w:sz w:val="28"/>
          <w:szCs w:val="28"/>
        </w:rPr>
        <w:t>,</w:t>
      </w:r>
      <w:r w:rsidR="001F1E15" w:rsidRPr="005B4785">
        <w:rPr>
          <w:rFonts w:ascii="Times New Roman" w:hAnsi="Times New Roman" w:cs="Times New Roman"/>
          <w:sz w:val="28"/>
          <w:szCs w:val="28"/>
        </w:rPr>
        <w:t xml:space="preserve"> содержала недостоверные сведения относительно расположения строящихся секций, этажности зданий, и как следствие, о количестве квартир. Реклама распространялась с целью привлечения денежных средств в долевое участие в строительстве.</w:t>
      </w:r>
      <w:r w:rsidRPr="005B4785">
        <w:rPr>
          <w:rFonts w:ascii="Times New Roman" w:hAnsi="Times New Roman" w:cs="Times New Roman"/>
          <w:sz w:val="28"/>
          <w:szCs w:val="28"/>
        </w:rPr>
        <w:t xml:space="preserve"> Указанная реклама была признана недостоверной, вводящей в заблуждение потребителей.</w:t>
      </w:r>
    </w:p>
    <w:p w:rsidR="00713D5D" w:rsidRPr="005B4785" w:rsidRDefault="00713D5D" w:rsidP="00455056">
      <w:pPr>
        <w:pStyle w:val="ConsPlusNormal"/>
        <w:ind w:firstLine="709"/>
        <w:jc w:val="both"/>
        <w:rPr>
          <w:rFonts w:ascii="Times New Roman" w:hAnsi="Times New Roman" w:cs="Times New Roman"/>
          <w:sz w:val="28"/>
          <w:szCs w:val="28"/>
        </w:rPr>
      </w:pPr>
      <w:r w:rsidRPr="005B4785">
        <w:rPr>
          <w:rFonts w:ascii="Times New Roman" w:hAnsi="Times New Roman" w:cs="Times New Roman"/>
          <w:sz w:val="28"/>
          <w:szCs w:val="28"/>
        </w:rPr>
        <w:t>Стоит отметить, что указанные решения являются примером пресечения действий по производству и распространению недостоверной рекламы, которая вводит потребителей (участников долевого строительства) в заблуждение относительно объектов недвижимости, предлагаемых к продаже и условий приобретения таких объектов.</w:t>
      </w:r>
    </w:p>
    <w:p w:rsidR="00455056" w:rsidRDefault="00630C51"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Ряд дел, возбужденных в 2018 по факту нарушения законодательства Российской Федерации, были за распространение реклам финансовых услуг без указания всех условий предоставления данных услуг (получение кредита, открытие вклада).</w:t>
      </w:r>
    </w:p>
    <w:p w:rsidR="00455056" w:rsidRDefault="00630C51"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Особенности распространения рекламы финансовых услуг установлены в статье 28 Закона о рекламе.</w:t>
      </w:r>
    </w:p>
    <w:p w:rsidR="00630C51" w:rsidRPr="005B4785" w:rsidRDefault="00630C51"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За истекший период 2019 года, в Липецкое УФАС России поступило 35 обращений о наличие признаков нарушения рекламного законодательства. Рассмотрено 7 дел, в 6 из которых признано наличие нарушения законодательства о рекламе.</w:t>
      </w:r>
    </w:p>
    <w:p w:rsidR="00455056" w:rsidRDefault="00630C51"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Так и в 2018, и в 2019 годах Липецким УФАС России признавались ненадлежащими рекламы, распространяемые по почтовым ящикам жителей города Липецка, в виде платежных документов</w:t>
      </w:r>
      <w:r w:rsidR="00B90968" w:rsidRPr="005B4785">
        <w:rPr>
          <w:rFonts w:ascii="Times New Roman" w:hAnsi="Times New Roman" w:cs="Times New Roman"/>
          <w:sz w:val="28"/>
          <w:szCs w:val="28"/>
        </w:rPr>
        <w:t>, указывающих о необходимости прохождения метрологической проверки счетчиков.</w:t>
      </w:r>
    </w:p>
    <w:p w:rsidR="00B90968" w:rsidRPr="005B4785" w:rsidRDefault="00B90968"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В Липецкое УФАС России поступили обращения о распространении по почтовым ящикам города Липецка организацией «Единая городская служба по учету водоснабжения» рекламных листовок о необходимости поверки приборов учета воды.</w:t>
      </w:r>
    </w:p>
    <w:p w:rsidR="00B90968" w:rsidRPr="005B4785" w:rsidRDefault="00B90968"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lastRenderedPageBreak/>
        <w:t xml:space="preserve">Согласно материалам дела, абонентский номер (4742)39-28-84, указанный в рекламе зарегистрирован с 22.10.2016 за ООО «БУХГАЛТЕРСКИЙ ЦЕНТР» (185135, г.Петрозаводск, </w:t>
      </w:r>
      <w:r w:rsidR="00730211" w:rsidRPr="005B4785">
        <w:rPr>
          <w:rFonts w:ascii="Times New Roman" w:hAnsi="Times New Roman" w:cs="Times New Roman"/>
          <w:sz w:val="28"/>
          <w:szCs w:val="28"/>
        </w:rPr>
        <w:t>ул. Гоголя</w:t>
      </w:r>
      <w:r w:rsidRPr="005B4785">
        <w:rPr>
          <w:rFonts w:ascii="Times New Roman" w:hAnsi="Times New Roman" w:cs="Times New Roman"/>
          <w:sz w:val="28"/>
          <w:szCs w:val="28"/>
        </w:rPr>
        <w:t>, д.1, кв.51).</w:t>
      </w:r>
    </w:p>
    <w:p w:rsidR="00B90968" w:rsidRPr="005B4785" w:rsidRDefault="00B90968"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Отсутствие в рекламе указания организационно-правовой формы в наименовании организации, сходство рекламных листовок с извещениями ресурсоснабжающих организаций искажают смысл информации и вводят в заблуждение потребителей рекламы.</w:t>
      </w:r>
    </w:p>
    <w:p w:rsidR="00B90968" w:rsidRPr="005B4785" w:rsidRDefault="00B90968"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Рекламораспространителем подобной рекламы признано ООО «БУХГАЛТЕРСКИЙ ЦЕНТР», реклама признана ненадлежащей.</w:t>
      </w:r>
    </w:p>
    <w:p w:rsidR="00B90968" w:rsidRDefault="00B90968"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Законность вынесенного решения антимонопольного органа подтверждена Арбитражным судом Липецкой области.</w:t>
      </w:r>
    </w:p>
    <w:p w:rsidR="00455056" w:rsidRPr="005B4785" w:rsidRDefault="00455056" w:rsidP="00455056">
      <w:pPr>
        <w:autoSpaceDE w:val="0"/>
        <w:autoSpaceDN w:val="0"/>
        <w:adjustRightInd w:val="0"/>
        <w:spacing w:after="0" w:line="240" w:lineRule="auto"/>
        <w:ind w:firstLine="709"/>
        <w:jc w:val="both"/>
        <w:rPr>
          <w:rFonts w:ascii="Times New Roman" w:hAnsi="Times New Roman" w:cs="Times New Roman"/>
          <w:sz w:val="28"/>
          <w:szCs w:val="28"/>
        </w:rPr>
      </w:pPr>
    </w:p>
    <w:p w:rsidR="00B90968" w:rsidRDefault="00C042C5" w:rsidP="00455056">
      <w:pPr>
        <w:autoSpaceDE w:val="0"/>
        <w:autoSpaceDN w:val="0"/>
        <w:adjustRightInd w:val="0"/>
        <w:spacing w:after="0" w:line="240" w:lineRule="auto"/>
        <w:ind w:firstLine="709"/>
        <w:jc w:val="center"/>
        <w:rPr>
          <w:rFonts w:ascii="Times New Roman" w:hAnsi="Times New Roman" w:cs="Times New Roman"/>
          <w:b/>
          <w:snapToGrid w:val="0"/>
          <w:sz w:val="28"/>
          <w:szCs w:val="28"/>
        </w:rPr>
      </w:pPr>
      <w:r w:rsidRPr="00455056">
        <w:rPr>
          <w:rFonts w:ascii="Times New Roman" w:hAnsi="Times New Roman" w:cs="Times New Roman"/>
          <w:b/>
          <w:snapToGrid w:val="0"/>
          <w:sz w:val="28"/>
          <w:szCs w:val="28"/>
        </w:rPr>
        <w:t>Пресечение недобросовестной конкуренции</w:t>
      </w:r>
    </w:p>
    <w:p w:rsidR="00455056" w:rsidRPr="00455056" w:rsidRDefault="00455056" w:rsidP="00455056">
      <w:pPr>
        <w:autoSpaceDE w:val="0"/>
        <w:autoSpaceDN w:val="0"/>
        <w:adjustRightInd w:val="0"/>
        <w:spacing w:after="0" w:line="240" w:lineRule="auto"/>
        <w:ind w:firstLine="709"/>
        <w:jc w:val="center"/>
        <w:rPr>
          <w:rFonts w:ascii="Times New Roman" w:hAnsi="Times New Roman" w:cs="Times New Roman"/>
          <w:b/>
          <w:sz w:val="28"/>
          <w:szCs w:val="28"/>
        </w:rPr>
      </w:pPr>
    </w:p>
    <w:p w:rsidR="00C042C5" w:rsidRPr="005B4785" w:rsidRDefault="00C042C5" w:rsidP="00455056">
      <w:pPr>
        <w:autoSpaceDE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В 2018 году возбуждено и рассмотрено 17 антимонопольных дел, в 9 из которых признаны наличие нарушений, выдано 6 предписаний о прекращении нарушения антимонопольного законодательства (в 2017 году возбужденно и рассмотрено 10 дел).</w:t>
      </w:r>
    </w:p>
    <w:p w:rsidR="00C042C5" w:rsidRPr="005B4785" w:rsidRDefault="00C042C5" w:rsidP="00455056">
      <w:pPr>
        <w:tabs>
          <w:tab w:val="left" w:pos="0"/>
        </w:tabs>
        <w:autoSpaceDE w:val="0"/>
        <w:spacing w:after="0" w:line="240" w:lineRule="auto"/>
        <w:ind w:firstLine="709"/>
        <w:jc w:val="both"/>
        <w:rPr>
          <w:rFonts w:ascii="Times New Roman" w:eastAsia="Arial" w:hAnsi="Times New Roman" w:cs="Times New Roman"/>
          <w:kern w:val="2"/>
          <w:sz w:val="28"/>
          <w:szCs w:val="28"/>
          <w:shd w:val="clear" w:color="auto" w:fill="FFFFFF"/>
        </w:rPr>
      </w:pPr>
      <w:r w:rsidRPr="005B4785">
        <w:rPr>
          <w:rFonts w:ascii="Times New Roman" w:eastAsia="Arial" w:hAnsi="Times New Roman" w:cs="Times New Roman"/>
          <w:kern w:val="2"/>
          <w:sz w:val="28"/>
          <w:szCs w:val="28"/>
          <w:shd w:val="clear" w:color="auto" w:fill="FFFFFF"/>
        </w:rPr>
        <w:t>Выдано 15 предупреждений о прекращении действий, содержащих признаки нарушения статей 14.1, 14.2, 14.3, 14.7, 14.8 Закона «О защите конкуренции».</w:t>
      </w:r>
    </w:p>
    <w:p w:rsidR="00C042C5" w:rsidRPr="005B4785" w:rsidRDefault="00C042C5"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В январе 2018 года Комиссия Липецкого УФАС России признала нарушение части 1 статьи 14.4 Закона о защите конкуренции в действиях ООО «Радио супермаркет».</w:t>
      </w:r>
    </w:p>
    <w:p w:rsidR="00C042C5" w:rsidRPr="005B4785" w:rsidRDefault="00C042C5" w:rsidP="00455056">
      <w:pPr>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 xml:space="preserve">Согласно п.1 ст.14.4 Федерального закона «О защите конкуренции»,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t>
      </w:r>
    </w:p>
    <w:p w:rsidR="00C042C5" w:rsidRPr="005B4785" w:rsidRDefault="00C042C5"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ООО «Реклама везде», образованное в 2004 году, предоставляло услугу под названием «Радио супермаркет». Кроме того, обществом был придуман логотип содержащий название предоставляемой услуги. Проект «Радио супермаркет» получил широкую известность на территории Липецкой области.</w:t>
      </w:r>
    </w:p>
    <w:p w:rsidR="00C042C5" w:rsidRPr="005B4785" w:rsidRDefault="00C042C5"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Однако в 2014 году бывшим директором ООО «Реклама везде» было образовано ООО «Радио супермаркет» и зарегистрирован товарный знак, содержащий словесный элемент «Радио супермаркет».</w:t>
      </w:r>
    </w:p>
    <w:p w:rsidR="00C042C5" w:rsidRPr="005B4785" w:rsidRDefault="00C042C5"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Комиссия антимонопольного органа пришла к выводу, что ООО «Радио супермаркет» было известно о том, что словосочетание ООО «Радио супермаркет» было введено в гражданский оборот ООО «Реклама везде». Товарный знак был зарегистрирован с целью введения потребителей в заблуждение, что может привести к утечке потребителей от ООО «Реклама везде» к ООО «Радио супермаркет», а также с целью вытеснения конкурентов с рынка оказания рекламных услуг в области теле – радиовещания.</w:t>
      </w:r>
    </w:p>
    <w:p w:rsidR="00C042C5" w:rsidRPr="005B4785" w:rsidRDefault="00C042C5" w:rsidP="004550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 xml:space="preserve">В Липецкое УФАС России поступило несколько обращений хозяйствующих субъектов о нарушении принципов конкуренции при участии в торгах на право заключения контракта на оказание услуг по охране имущества, посредством централизованного наблюдения с помощью системы передачи оперативных данных </w:t>
      </w:r>
      <w:r w:rsidRPr="005B4785">
        <w:rPr>
          <w:rFonts w:ascii="Times New Roman" w:hAnsi="Times New Roman" w:cs="Times New Roman"/>
          <w:sz w:val="28"/>
          <w:szCs w:val="28"/>
        </w:rPr>
        <w:lastRenderedPageBreak/>
        <w:t>(пультовая охрана).</w:t>
      </w:r>
    </w:p>
    <w:p w:rsidR="00C042C5" w:rsidRPr="005B4785" w:rsidRDefault="00C042C5" w:rsidP="004550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Заявители указывают на то, что ряд участников закупки-хозяйствующих субъектов осуществили демпинг с целью устранения конкурентов без намерения заключить контракт.</w:t>
      </w:r>
    </w:p>
    <w:p w:rsidR="00C042C5" w:rsidRPr="005B4785" w:rsidRDefault="00C042C5" w:rsidP="00455056">
      <w:pPr>
        <w:widowControl w:val="0"/>
        <w:autoSpaceDE w:val="0"/>
        <w:autoSpaceDN w:val="0"/>
        <w:adjustRightInd w:val="0"/>
        <w:spacing w:after="0" w:line="240" w:lineRule="auto"/>
        <w:ind w:firstLine="709"/>
        <w:jc w:val="both"/>
        <w:rPr>
          <w:rFonts w:ascii="Times New Roman" w:eastAsia="Andale Sans UI" w:hAnsi="Times New Roman" w:cs="Times New Roman"/>
          <w:iCs/>
          <w:sz w:val="28"/>
          <w:szCs w:val="28"/>
        </w:rPr>
      </w:pPr>
      <w:r w:rsidRPr="005B4785">
        <w:rPr>
          <w:rFonts w:ascii="Times New Roman" w:hAnsi="Times New Roman" w:cs="Times New Roman"/>
          <w:sz w:val="28"/>
          <w:szCs w:val="28"/>
        </w:rPr>
        <w:t xml:space="preserve">Антимонопольным органом установлено, что два частных охранных предприятия за 5 минут участия в аукционе снизили начальную максимальную цену контракта на 95,5 %. Однако в дальнейшем ценовые предложения этих организаций </w:t>
      </w:r>
      <w:r w:rsidRPr="005B4785">
        <w:rPr>
          <w:rFonts w:ascii="Times New Roman" w:eastAsia="Andale Sans UI" w:hAnsi="Times New Roman" w:cs="Times New Roman"/>
          <w:iCs/>
          <w:sz w:val="28"/>
          <w:szCs w:val="28"/>
        </w:rPr>
        <w:t>были отклонены в связи с несоответствием второй части заявки на участие в аукционе. Данное обстоятельство позволило признать победителем аукциона компанию, предложившее наиболее меньшее ценовое предложение, соответствующее всем условиям проведения торгов.</w:t>
      </w:r>
    </w:p>
    <w:p w:rsidR="00C042C5" w:rsidRPr="005B4785" w:rsidRDefault="00C042C5"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Кроме того, компания-победитель аукциона и организации, предложившие демпинговые ценовые предложения, входят в группу лиц.</w:t>
      </w:r>
    </w:p>
    <w:p w:rsidR="00C042C5" w:rsidRPr="005B4785" w:rsidRDefault="00C042C5" w:rsidP="00455056">
      <w:pPr>
        <w:autoSpaceDE w:val="0"/>
        <w:autoSpaceDN w:val="0"/>
        <w:adjustRightInd w:val="0"/>
        <w:spacing w:after="0" w:line="240" w:lineRule="auto"/>
        <w:ind w:firstLine="709"/>
        <w:jc w:val="both"/>
        <w:rPr>
          <w:rFonts w:ascii="Times New Roman" w:eastAsia="Andale Sans UI" w:hAnsi="Times New Roman" w:cs="Times New Roman"/>
          <w:iCs/>
          <w:sz w:val="28"/>
          <w:szCs w:val="28"/>
        </w:rPr>
      </w:pPr>
      <w:r w:rsidRPr="005B4785">
        <w:rPr>
          <w:rFonts w:ascii="Times New Roman" w:hAnsi="Times New Roman" w:cs="Times New Roman"/>
          <w:sz w:val="28"/>
          <w:szCs w:val="28"/>
        </w:rPr>
        <w:t xml:space="preserve">Проанализировав иные торги с участием хозяйствующих субъектов, входящих в группу лиц, антимонопольный орган пришел к выводу о том, что ЧОПы, осуществившие резкое снижение НМЦ, знали о том, каким образом происходит участие в торгах, следовательно, не соответствие </w:t>
      </w:r>
      <w:r w:rsidRPr="005B4785">
        <w:rPr>
          <w:rFonts w:ascii="Times New Roman" w:eastAsia="Andale Sans UI" w:hAnsi="Times New Roman" w:cs="Times New Roman"/>
          <w:iCs/>
          <w:sz w:val="28"/>
          <w:szCs w:val="28"/>
        </w:rPr>
        <w:t>второй части заявки на участие в аукционе не может являться ошибкой хозяйствующих субъектов. Данное обстоятельство позволяет предположить, что подача демпинговых ценовых предложений и искусственное снижение начальной (максимальной) цены контракта осуществлены с целью создания видимости конкурентной борьбы, и введение в заблуждение остальных участников аукциона.</w:t>
      </w:r>
    </w:p>
    <w:p w:rsidR="00C042C5" w:rsidRPr="005B4785" w:rsidRDefault="00C042C5" w:rsidP="00455056">
      <w:pPr>
        <w:widowControl w:val="0"/>
        <w:autoSpaceDE w:val="0"/>
        <w:autoSpaceDN w:val="0"/>
        <w:adjustRightInd w:val="0"/>
        <w:spacing w:after="0" w:line="240" w:lineRule="auto"/>
        <w:ind w:firstLine="709"/>
        <w:jc w:val="both"/>
        <w:rPr>
          <w:rFonts w:ascii="Times New Roman" w:eastAsia="Andale Sans UI" w:hAnsi="Times New Roman" w:cs="Times New Roman"/>
          <w:iCs/>
          <w:sz w:val="28"/>
          <w:szCs w:val="28"/>
        </w:rPr>
      </w:pPr>
      <w:r w:rsidRPr="005B4785">
        <w:rPr>
          <w:rFonts w:ascii="Times New Roman" w:eastAsia="Andale Sans UI" w:hAnsi="Times New Roman" w:cs="Times New Roman"/>
          <w:iCs/>
          <w:sz w:val="28"/>
          <w:szCs w:val="28"/>
        </w:rPr>
        <w:t>Так, компании, подавшие заявление в территориальный орган ФАС России, указывают на то, что отказались от участия в аукционе после предложенных низких ценовых предложений.</w:t>
      </w:r>
    </w:p>
    <w:p w:rsidR="00C042C5" w:rsidRPr="005B4785" w:rsidRDefault="00C042C5"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eastAsia="Andale Sans UI" w:hAnsi="Times New Roman" w:cs="Times New Roman"/>
          <w:iCs/>
          <w:sz w:val="28"/>
          <w:szCs w:val="28"/>
        </w:rPr>
        <w:t>Подобные действия группы лиц подпадают под определение недобросовестной конкуренции</w:t>
      </w:r>
      <w:r w:rsidRPr="005B4785">
        <w:rPr>
          <w:rFonts w:ascii="Times New Roman" w:hAnsi="Times New Roman" w:cs="Times New Roman"/>
          <w:sz w:val="28"/>
          <w:szCs w:val="28"/>
        </w:rPr>
        <w:t>.</w:t>
      </w:r>
    </w:p>
    <w:p w:rsidR="00C042C5" w:rsidRPr="005B4785" w:rsidRDefault="00C042C5"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 xml:space="preserve">Статья 14.8 устанавливает запрет на иные формы недобросовестной конкуренции наряду с предусмотренными </w:t>
      </w:r>
      <w:hyperlink r:id="rId9" w:history="1">
        <w:r w:rsidRPr="005B4785">
          <w:rPr>
            <w:rFonts w:ascii="Times New Roman" w:hAnsi="Times New Roman" w:cs="Times New Roman"/>
            <w:sz w:val="28"/>
            <w:szCs w:val="28"/>
          </w:rPr>
          <w:t>статьями 14.1</w:t>
        </w:r>
      </w:hyperlink>
      <w:r w:rsidRPr="005B4785">
        <w:rPr>
          <w:rFonts w:ascii="Times New Roman" w:hAnsi="Times New Roman" w:cs="Times New Roman"/>
          <w:sz w:val="28"/>
          <w:szCs w:val="28"/>
        </w:rPr>
        <w:t xml:space="preserve"> - </w:t>
      </w:r>
      <w:hyperlink r:id="rId10" w:history="1">
        <w:r w:rsidRPr="005B4785">
          <w:rPr>
            <w:rFonts w:ascii="Times New Roman" w:hAnsi="Times New Roman" w:cs="Times New Roman"/>
            <w:sz w:val="28"/>
            <w:szCs w:val="28"/>
          </w:rPr>
          <w:t>14.7</w:t>
        </w:r>
      </w:hyperlink>
      <w:r w:rsidRPr="005B4785">
        <w:rPr>
          <w:rFonts w:ascii="Times New Roman" w:hAnsi="Times New Roman" w:cs="Times New Roman"/>
          <w:sz w:val="28"/>
          <w:szCs w:val="28"/>
        </w:rPr>
        <w:t xml:space="preserve"> закона. Указанные действия группы лиц содержат признаки нарушения статьи 14.8 Закона о защите конкуренции.</w:t>
      </w:r>
    </w:p>
    <w:p w:rsidR="00C042C5" w:rsidRPr="005B4785" w:rsidRDefault="00C042C5" w:rsidP="00455056">
      <w:pPr>
        <w:pStyle w:val="Style12"/>
        <w:widowControl/>
        <w:spacing w:line="240" w:lineRule="auto"/>
        <w:ind w:firstLine="709"/>
        <w:jc w:val="both"/>
        <w:rPr>
          <w:sz w:val="28"/>
          <w:szCs w:val="28"/>
        </w:rPr>
      </w:pPr>
      <w:r w:rsidRPr="005B4785">
        <w:rPr>
          <w:sz w:val="28"/>
          <w:szCs w:val="28"/>
        </w:rPr>
        <w:t xml:space="preserve">Липецкое УФАС России выдало предупреждение </w:t>
      </w:r>
      <w:r w:rsidRPr="005B4785">
        <w:rPr>
          <w:rFonts w:eastAsia="Andale Sans UI"/>
          <w:iCs/>
          <w:sz w:val="28"/>
          <w:szCs w:val="28"/>
        </w:rPr>
        <w:t xml:space="preserve">в связи с необходимостью устранения причин и условий, способствовавших возникновению признаков нарушения антимонопольного законодательства, а также о принятии мер по устранению их последствий. Так, победителю аукциона было предложено </w:t>
      </w:r>
      <w:r w:rsidRPr="005B4785">
        <w:rPr>
          <w:sz w:val="28"/>
          <w:szCs w:val="28"/>
        </w:rPr>
        <w:t>перечислить в бюджет доход, полученный вследствие недобросовестного поведения группы лиц.</w:t>
      </w:r>
    </w:p>
    <w:p w:rsidR="00C042C5" w:rsidRPr="005B4785" w:rsidRDefault="00C042C5" w:rsidP="00455056">
      <w:pPr>
        <w:pStyle w:val="Style12"/>
        <w:widowControl/>
        <w:spacing w:line="240" w:lineRule="auto"/>
        <w:ind w:firstLine="709"/>
        <w:jc w:val="both"/>
        <w:rPr>
          <w:sz w:val="28"/>
          <w:szCs w:val="28"/>
        </w:rPr>
      </w:pPr>
      <w:r w:rsidRPr="005B4785">
        <w:rPr>
          <w:sz w:val="28"/>
          <w:szCs w:val="28"/>
        </w:rPr>
        <w:t>Под доходом понимается сумма, на которую был заключен контракт, так как именно такой же доход могли получить иные участники закупки, но не получили. Следовательно, данная сумма является упущенной выгодой для добросовестных участников торгов.</w:t>
      </w:r>
    </w:p>
    <w:p w:rsidR="00C042C5" w:rsidRPr="005B4785" w:rsidRDefault="00C042C5"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Суды трех инстанций подтвердили законность, выданного предупреждения.</w:t>
      </w:r>
    </w:p>
    <w:p w:rsidR="00C042C5" w:rsidRPr="005B4785" w:rsidRDefault="00C042C5"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В связи с неисполнением данного предупреждения, Липецким УФАС России было возбуждено дело, по результатам которого в действиях группы лиц признано наличие нарушения антимонопольного законодательства.</w:t>
      </w:r>
    </w:p>
    <w:p w:rsidR="00C140C1" w:rsidRPr="005B4785" w:rsidRDefault="009C2BCE"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lastRenderedPageBreak/>
        <w:t xml:space="preserve">В 2018 году Липецким УФАС России рассматривались дела в связи с использованием товарных знаков </w:t>
      </w:r>
      <w:r w:rsidRPr="005B4785">
        <w:rPr>
          <w:rFonts w:ascii="Times New Roman" w:hAnsi="Times New Roman" w:cs="Times New Roman"/>
          <w:sz w:val="28"/>
          <w:szCs w:val="28"/>
          <w:lang w:val="en-US"/>
        </w:rPr>
        <w:t>FIFA</w:t>
      </w:r>
      <w:r w:rsidRPr="005B4785">
        <w:rPr>
          <w:rFonts w:ascii="Times New Roman" w:hAnsi="Times New Roman" w:cs="Times New Roman"/>
          <w:sz w:val="28"/>
          <w:szCs w:val="28"/>
        </w:rPr>
        <w:t xml:space="preserve"> 2018. </w:t>
      </w:r>
    </w:p>
    <w:p w:rsidR="00C140C1" w:rsidRPr="005B4785" w:rsidRDefault="009C2BCE"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 xml:space="preserve"> </w:t>
      </w:r>
    </w:p>
    <w:p w:rsidR="009C2BCE" w:rsidRPr="005B4785" w:rsidRDefault="009C2BCE" w:rsidP="00455056">
      <w:pPr>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В 2019 году Липецким УФАС России выдано три предупреждения в связи с наличием признаков нарушения антимонопольного законодательства Российской Федерации, связанных с недобросовестной конкуренцией.</w:t>
      </w:r>
    </w:p>
    <w:p w:rsidR="005B4785" w:rsidRPr="005B4785" w:rsidRDefault="009C2BCE" w:rsidP="00455056">
      <w:pPr>
        <w:autoSpaceDE w:val="0"/>
        <w:autoSpaceDN w:val="0"/>
        <w:adjustRightInd w:val="0"/>
        <w:spacing w:after="0" w:line="240" w:lineRule="auto"/>
        <w:ind w:firstLine="709"/>
        <w:jc w:val="both"/>
        <w:rPr>
          <w:rFonts w:ascii="Times New Roman" w:hAnsi="Times New Roman" w:cs="Times New Roman"/>
          <w:sz w:val="28"/>
          <w:szCs w:val="28"/>
        </w:rPr>
      </w:pPr>
      <w:r w:rsidRPr="005B4785">
        <w:rPr>
          <w:rFonts w:ascii="Times New Roman" w:hAnsi="Times New Roman" w:cs="Times New Roman"/>
          <w:sz w:val="28"/>
          <w:szCs w:val="28"/>
        </w:rPr>
        <w:t>Так на интернет-сайте кредитного кооператива распространялась информация о</w:t>
      </w:r>
      <w:r w:rsidR="005B4785" w:rsidRPr="005B4785">
        <w:rPr>
          <w:rFonts w:ascii="Times New Roman" w:hAnsi="Times New Roman" w:cs="Times New Roman"/>
          <w:sz w:val="28"/>
          <w:szCs w:val="28"/>
        </w:rPr>
        <w:t>б</w:t>
      </w:r>
      <w:r w:rsidRPr="005B4785">
        <w:rPr>
          <w:rFonts w:ascii="Times New Roman" w:hAnsi="Times New Roman" w:cs="Times New Roman"/>
          <w:sz w:val="28"/>
          <w:szCs w:val="28"/>
        </w:rPr>
        <w:t xml:space="preserve"> </w:t>
      </w:r>
      <w:r w:rsidR="005B4785" w:rsidRPr="005B4785">
        <w:rPr>
          <w:rFonts w:ascii="Times New Roman" w:hAnsi="Times New Roman" w:cs="Times New Roman"/>
          <w:sz w:val="28"/>
          <w:szCs w:val="28"/>
        </w:rPr>
        <w:t>осуществлении деятельности по открытию вкладов.</w:t>
      </w:r>
    </w:p>
    <w:p w:rsidR="005B4785" w:rsidRPr="005B4785" w:rsidRDefault="005B4785" w:rsidP="004550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4785">
        <w:rPr>
          <w:rFonts w:ascii="Times New Roman" w:hAnsi="Times New Roman" w:cs="Times New Roman"/>
          <w:sz w:val="28"/>
          <w:szCs w:val="28"/>
        </w:rPr>
        <w:t xml:space="preserve">При этом КПК - не являются организациями, имеющими </w:t>
      </w:r>
      <w:r w:rsidRPr="005B4785">
        <w:rPr>
          <w:rFonts w:ascii="Times New Roman" w:eastAsia="Calibri" w:hAnsi="Times New Roman" w:cs="Times New Roman"/>
          <w:sz w:val="28"/>
          <w:szCs w:val="28"/>
        </w:rPr>
        <w:t xml:space="preserve">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11" w:history="1">
        <w:r w:rsidRPr="005B4785">
          <w:rPr>
            <w:rFonts w:ascii="Times New Roman" w:eastAsia="Calibri" w:hAnsi="Times New Roman" w:cs="Times New Roman"/>
            <w:sz w:val="28"/>
            <w:szCs w:val="28"/>
          </w:rPr>
          <w:t>законом</w:t>
        </w:r>
      </w:hyperlink>
      <w:r w:rsidRPr="005B4785">
        <w:rPr>
          <w:rFonts w:ascii="Times New Roman" w:eastAsia="Calibri" w:hAnsi="Times New Roman" w:cs="Times New Roman"/>
          <w:sz w:val="28"/>
          <w:szCs w:val="28"/>
        </w:rPr>
        <w:t xml:space="preserve"> «О банках и банковской деятельности».</w:t>
      </w:r>
    </w:p>
    <w:p w:rsidR="005B4785" w:rsidRPr="005B4785" w:rsidRDefault="00730211" w:rsidP="004550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4785">
        <w:rPr>
          <w:rFonts w:ascii="Times New Roman" w:eastAsia="Calibri" w:hAnsi="Times New Roman" w:cs="Times New Roman"/>
          <w:sz w:val="28"/>
          <w:szCs w:val="28"/>
        </w:rPr>
        <w:t>Следовательно,</w:t>
      </w:r>
      <w:r w:rsidR="005B4785" w:rsidRPr="005B4785">
        <w:rPr>
          <w:rFonts w:ascii="Times New Roman" w:eastAsia="Calibri" w:hAnsi="Times New Roman" w:cs="Times New Roman"/>
          <w:sz w:val="28"/>
          <w:szCs w:val="28"/>
        </w:rPr>
        <w:t xml:space="preserve"> информация о </w:t>
      </w:r>
      <w:r w:rsidRPr="005B4785">
        <w:rPr>
          <w:rFonts w:ascii="Times New Roman" w:eastAsia="Calibri" w:hAnsi="Times New Roman" w:cs="Times New Roman"/>
          <w:sz w:val="28"/>
          <w:szCs w:val="28"/>
        </w:rPr>
        <w:t>том, что</w:t>
      </w:r>
      <w:r w:rsidR="005B4785" w:rsidRPr="005B4785">
        <w:rPr>
          <w:rFonts w:ascii="Times New Roman" w:eastAsia="Calibri" w:hAnsi="Times New Roman" w:cs="Times New Roman"/>
          <w:sz w:val="28"/>
          <w:szCs w:val="28"/>
        </w:rPr>
        <w:t xml:space="preserve"> КПК осуществляет деятельность по открытию вкладов вводит потребителей в заблуждение.</w:t>
      </w:r>
    </w:p>
    <w:p w:rsidR="005B4785" w:rsidRDefault="005B4785" w:rsidP="00455056">
      <w:pPr>
        <w:autoSpaceDE w:val="0"/>
        <w:autoSpaceDN w:val="0"/>
        <w:adjustRightInd w:val="0"/>
        <w:spacing w:after="0" w:line="240" w:lineRule="auto"/>
        <w:ind w:firstLine="709"/>
        <w:jc w:val="both"/>
        <w:rPr>
          <w:rFonts w:eastAsia="Calibri"/>
          <w:sz w:val="27"/>
          <w:szCs w:val="27"/>
        </w:rPr>
      </w:pPr>
      <w:r w:rsidRPr="005B4785">
        <w:rPr>
          <w:rFonts w:ascii="Times New Roman" w:eastAsia="Calibri" w:hAnsi="Times New Roman" w:cs="Times New Roman"/>
          <w:sz w:val="28"/>
          <w:szCs w:val="28"/>
        </w:rPr>
        <w:t>Выданное Липецким УФАС России предупреждение исполнено в установленные в</w:t>
      </w:r>
      <w:r>
        <w:rPr>
          <w:rFonts w:eastAsia="Calibri"/>
          <w:sz w:val="27"/>
          <w:szCs w:val="27"/>
        </w:rPr>
        <w:t xml:space="preserve"> нем сроки.</w:t>
      </w:r>
    </w:p>
    <w:p w:rsidR="005B4785" w:rsidRPr="00826C1D" w:rsidRDefault="005B4785" w:rsidP="005B4785">
      <w:pPr>
        <w:autoSpaceDE w:val="0"/>
        <w:autoSpaceDN w:val="0"/>
        <w:adjustRightInd w:val="0"/>
        <w:ind w:firstLine="709"/>
        <w:jc w:val="both"/>
        <w:rPr>
          <w:sz w:val="27"/>
          <w:szCs w:val="27"/>
        </w:rPr>
      </w:pPr>
    </w:p>
    <w:p w:rsidR="009C2BCE" w:rsidRDefault="009C2BCE" w:rsidP="00A50F88">
      <w:pPr>
        <w:spacing w:after="0" w:line="240" w:lineRule="auto"/>
        <w:rPr>
          <w:rFonts w:ascii="Times New Roman" w:hAnsi="Times New Roman" w:cs="Times New Roman"/>
          <w:b/>
          <w:sz w:val="28"/>
          <w:szCs w:val="26"/>
        </w:rPr>
      </w:pPr>
    </w:p>
    <w:sectPr w:rsidR="009C2BCE" w:rsidSect="00007603">
      <w:footerReference w:type="default" r:id="rId12"/>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8E" w:rsidRDefault="00D95E8E" w:rsidP="00D95E8E">
      <w:pPr>
        <w:spacing w:after="0" w:line="240" w:lineRule="auto"/>
      </w:pPr>
      <w:r>
        <w:separator/>
      </w:r>
    </w:p>
  </w:endnote>
  <w:endnote w:type="continuationSeparator" w:id="0">
    <w:p w:rsidR="00D95E8E" w:rsidRDefault="00D95E8E" w:rsidP="00D9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8621"/>
      <w:docPartObj>
        <w:docPartGallery w:val="Page Numbers (Bottom of Page)"/>
        <w:docPartUnique/>
      </w:docPartObj>
    </w:sdtPr>
    <w:sdtEndPr/>
    <w:sdtContent>
      <w:p w:rsidR="00D95E8E" w:rsidRDefault="00D95E8E">
        <w:pPr>
          <w:pStyle w:val="ae"/>
          <w:jc w:val="center"/>
        </w:pPr>
        <w:r>
          <w:fldChar w:fldCharType="begin"/>
        </w:r>
        <w:r>
          <w:instrText>PAGE   \* MERGEFORMAT</w:instrText>
        </w:r>
        <w:r>
          <w:fldChar w:fldCharType="separate"/>
        </w:r>
        <w:r w:rsidR="00730211">
          <w:rPr>
            <w:noProof/>
          </w:rPr>
          <w:t>3</w:t>
        </w:r>
        <w:r>
          <w:fldChar w:fldCharType="end"/>
        </w:r>
      </w:p>
    </w:sdtContent>
  </w:sdt>
  <w:p w:rsidR="00D95E8E" w:rsidRDefault="00D95E8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8E" w:rsidRDefault="00D95E8E" w:rsidP="00D95E8E">
      <w:pPr>
        <w:spacing w:after="0" w:line="240" w:lineRule="auto"/>
      </w:pPr>
      <w:r>
        <w:separator/>
      </w:r>
    </w:p>
  </w:footnote>
  <w:footnote w:type="continuationSeparator" w:id="0">
    <w:p w:rsidR="00D95E8E" w:rsidRDefault="00D95E8E" w:rsidP="00D95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0403"/>
    <w:multiLevelType w:val="hybridMultilevel"/>
    <w:tmpl w:val="1D268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4633C"/>
    <w:multiLevelType w:val="hybridMultilevel"/>
    <w:tmpl w:val="7188CCD4"/>
    <w:lvl w:ilvl="0" w:tplc="9E583B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84C9E"/>
    <w:multiLevelType w:val="hybridMultilevel"/>
    <w:tmpl w:val="19808A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47BEB"/>
    <w:multiLevelType w:val="multilevel"/>
    <w:tmpl w:val="0BFAF322"/>
    <w:lvl w:ilvl="0">
      <w:start w:val="1"/>
      <w:numFmt w:val="decimal"/>
      <w:lvlText w:val="%1."/>
      <w:lvlJc w:val="left"/>
      <w:pPr>
        <w:ind w:left="432" w:hanging="432"/>
      </w:pPr>
      <w:rPr>
        <w:rFonts w:hint="default"/>
        <w:b w:val="0"/>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B22382"/>
    <w:multiLevelType w:val="hybridMultilevel"/>
    <w:tmpl w:val="F1AE6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88F126A"/>
    <w:multiLevelType w:val="hybridMultilevel"/>
    <w:tmpl w:val="4110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7"/>
    <w:rsid w:val="00007603"/>
    <w:rsid w:val="00026CB0"/>
    <w:rsid w:val="00057D7A"/>
    <w:rsid w:val="00060BCD"/>
    <w:rsid w:val="00066887"/>
    <w:rsid w:val="00080161"/>
    <w:rsid w:val="00093384"/>
    <w:rsid w:val="00097E77"/>
    <w:rsid w:val="000A6682"/>
    <w:rsid w:val="000B04E7"/>
    <w:rsid w:val="000B0FEE"/>
    <w:rsid w:val="000B7FE2"/>
    <w:rsid w:val="000C429E"/>
    <w:rsid w:val="000D2C7F"/>
    <w:rsid w:val="000E1E68"/>
    <w:rsid w:val="00106B33"/>
    <w:rsid w:val="00123469"/>
    <w:rsid w:val="00137D96"/>
    <w:rsid w:val="00172227"/>
    <w:rsid w:val="001A1806"/>
    <w:rsid w:val="001B566F"/>
    <w:rsid w:val="001B5FBC"/>
    <w:rsid w:val="001F0BC2"/>
    <w:rsid w:val="001F1E15"/>
    <w:rsid w:val="002073DE"/>
    <w:rsid w:val="00231D44"/>
    <w:rsid w:val="00240D2A"/>
    <w:rsid w:val="00280413"/>
    <w:rsid w:val="002A39EB"/>
    <w:rsid w:val="002A4909"/>
    <w:rsid w:val="002A5457"/>
    <w:rsid w:val="002B5FEC"/>
    <w:rsid w:val="002D067A"/>
    <w:rsid w:val="002D4F23"/>
    <w:rsid w:val="002E2CBA"/>
    <w:rsid w:val="003009DF"/>
    <w:rsid w:val="00327C6C"/>
    <w:rsid w:val="00330AF7"/>
    <w:rsid w:val="00370C1C"/>
    <w:rsid w:val="00371125"/>
    <w:rsid w:val="00373C5C"/>
    <w:rsid w:val="00381562"/>
    <w:rsid w:val="0039744F"/>
    <w:rsid w:val="003A124A"/>
    <w:rsid w:val="00426DA7"/>
    <w:rsid w:val="00427417"/>
    <w:rsid w:val="00440CAF"/>
    <w:rsid w:val="00455056"/>
    <w:rsid w:val="0046107A"/>
    <w:rsid w:val="004979B8"/>
    <w:rsid w:val="004A2445"/>
    <w:rsid w:val="004A2FA6"/>
    <w:rsid w:val="004A3997"/>
    <w:rsid w:val="004B7DD3"/>
    <w:rsid w:val="004C3A1B"/>
    <w:rsid w:val="004C7970"/>
    <w:rsid w:val="004E68FC"/>
    <w:rsid w:val="00513056"/>
    <w:rsid w:val="00517015"/>
    <w:rsid w:val="00523C18"/>
    <w:rsid w:val="005253DD"/>
    <w:rsid w:val="0055793E"/>
    <w:rsid w:val="00566CEB"/>
    <w:rsid w:val="005B4785"/>
    <w:rsid w:val="005E6711"/>
    <w:rsid w:val="006112DE"/>
    <w:rsid w:val="00624C06"/>
    <w:rsid w:val="00630C51"/>
    <w:rsid w:val="00631BAF"/>
    <w:rsid w:val="00646D7F"/>
    <w:rsid w:val="00646E0F"/>
    <w:rsid w:val="00677E47"/>
    <w:rsid w:val="0068586D"/>
    <w:rsid w:val="0068719E"/>
    <w:rsid w:val="006B7B91"/>
    <w:rsid w:val="006C4938"/>
    <w:rsid w:val="006D30D7"/>
    <w:rsid w:val="006D7B4F"/>
    <w:rsid w:val="006E1B3F"/>
    <w:rsid w:val="006E2B91"/>
    <w:rsid w:val="006F4947"/>
    <w:rsid w:val="006F60A6"/>
    <w:rsid w:val="006F670B"/>
    <w:rsid w:val="00713D5D"/>
    <w:rsid w:val="00727235"/>
    <w:rsid w:val="00730211"/>
    <w:rsid w:val="0073214A"/>
    <w:rsid w:val="00734DFA"/>
    <w:rsid w:val="00743AA6"/>
    <w:rsid w:val="0074558C"/>
    <w:rsid w:val="00750D28"/>
    <w:rsid w:val="007725FE"/>
    <w:rsid w:val="007A700B"/>
    <w:rsid w:val="007B678C"/>
    <w:rsid w:val="00802321"/>
    <w:rsid w:val="00804119"/>
    <w:rsid w:val="00872640"/>
    <w:rsid w:val="00873D99"/>
    <w:rsid w:val="008841AD"/>
    <w:rsid w:val="00884FED"/>
    <w:rsid w:val="008A5FFE"/>
    <w:rsid w:val="008D0615"/>
    <w:rsid w:val="008E2FC1"/>
    <w:rsid w:val="008F29E6"/>
    <w:rsid w:val="0091473B"/>
    <w:rsid w:val="00920177"/>
    <w:rsid w:val="009249F4"/>
    <w:rsid w:val="00930CDE"/>
    <w:rsid w:val="009313F7"/>
    <w:rsid w:val="00941685"/>
    <w:rsid w:val="00944407"/>
    <w:rsid w:val="0094450A"/>
    <w:rsid w:val="009702BD"/>
    <w:rsid w:val="00994122"/>
    <w:rsid w:val="009A6D83"/>
    <w:rsid w:val="009C2BCE"/>
    <w:rsid w:val="009C5096"/>
    <w:rsid w:val="009D0834"/>
    <w:rsid w:val="009F16D8"/>
    <w:rsid w:val="009F2998"/>
    <w:rsid w:val="00A10D14"/>
    <w:rsid w:val="00A178E4"/>
    <w:rsid w:val="00A50F88"/>
    <w:rsid w:val="00A85185"/>
    <w:rsid w:val="00A90674"/>
    <w:rsid w:val="00A935E4"/>
    <w:rsid w:val="00A95FD2"/>
    <w:rsid w:val="00AC0F0C"/>
    <w:rsid w:val="00AF0DCD"/>
    <w:rsid w:val="00AF734C"/>
    <w:rsid w:val="00B2324F"/>
    <w:rsid w:val="00B5215E"/>
    <w:rsid w:val="00B56D06"/>
    <w:rsid w:val="00B6311F"/>
    <w:rsid w:val="00B64741"/>
    <w:rsid w:val="00B64BBB"/>
    <w:rsid w:val="00B70C76"/>
    <w:rsid w:val="00B75563"/>
    <w:rsid w:val="00B84653"/>
    <w:rsid w:val="00B90968"/>
    <w:rsid w:val="00BA3F8A"/>
    <w:rsid w:val="00BE7A29"/>
    <w:rsid w:val="00BF1A69"/>
    <w:rsid w:val="00C042C5"/>
    <w:rsid w:val="00C12B02"/>
    <w:rsid w:val="00C140C1"/>
    <w:rsid w:val="00C32C46"/>
    <w:rsid w:val="00C54976"/>
    <w:rsid w:val="00CA7C01"/>
    <w:rsid w:val="00CA7D46"/>
    <w:rsid w:val="00CC02D8"/>
    <w:rsid w:val="00CE3477"/>
    <w:rsid w:val="00CF4C2F"/>
    <w:rsid w:val="00CF572D"/>
    <w:rsid w:val="00D060DA"/>
    <w:rsid w:val="00D10848"/>
    <w:rsid w:val="00D2188A"/>
    <w:rsid w:val="00D43168"/>
    <w:rsid w:val="00D467A9"/>
    <w:rsid w:val="00D521C7"/>
    <w:rsid w:val="00D60200"/>
    <w:rsid w:val="00D95E8E"/>
    <w:rsid w:val="00DB3238"/>
    <w:rsid w:val="00E02D65"/>
    <w:rsid w:val="00E13A4C"/>
    <w:rsid w:val="00E159C2"/>
    <w:rsid w:val="00E24FA6"/>
    <w:rsid w:val="00E3022C"/>
    <w:rsid w:val="00E354FB"/>
    <w:rsid w:val="00E61033"/>
    <w:rsid w:val="00E74082"/>
    <w:rsid w:val="00E8217D"/>
    <w:rsid w:val="00E948EF"/>
    <w:rsid w:val="00EA685C"/>
    <w:rsid w:val="00ED1877"/>
    <w:rsid w:val="00ED57F6"/>
    <w:rsid w:val="00F43751"/>
    <w:rsid w:val="00F450A0"/>
    <w:rsid w:val="00F50FA2"/>
    <w:rsid w:val="00F52BA0"/>
    <w:rsid w:val="00F6261A"/>
    <w:rsid w:val="00FA0248"/>
    <w:rsid w:val="00FA06EE"/>
    <w:rsid w:val="00FB1195"/>
    <w:rsid w:val="00FD293B"/>
    <w:rsid w:val="00FF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260F7-0736-47D4-9083-46279DD2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DE"/>
    <w:rPr>
      <w:rFonts w:eastAsiaTheme="minorEastAsia"/>
      <w:lang w:eastAsia="ru-RU"/>
    </w:rPr>
  </w:style>
  <w:style w:type="paragraph" w:styleId="1">
    <w:name w:val="heading 1"/>
    <w:basedOn w:val="a"/>
    <w:next w:val="a"/>
    <w:link w:val="10"/>
    <w:uiPriority w:val="9"/>
    <w:qFormat/>
    <w:rsid w:val="00CA7D46"/>
    <w:pPr>
      <w:spacing w:after="0" w:line="240" w:lineRule="auto"/>
      <w:jc w:val="center"/>
      <w:outlineLvl w:val="0"/>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D21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ED187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D1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1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877"/>
    <w:rPr>
      <w:rFonts w:ascii="Tahoma" w:eastAsiaTheme="minorEastAsia" w:hAnsi="Tahoma" w:cs="Tahoma"/>
      <w:sz w:val="16"/>
      <w:szCs w:val="16"/>
      <w:lang w:eastAsia="ru-RU"/>
    </w:rPr>
  </w:style>
  <w:style w:type="paragraph" w:customStyle="1" w:styleId="Style12">
    <w:name w:val="Style12"/>
    <w:basedOn w:val="a"/>
    <w:uiPriority w:val="99"/>
    <w:rsid w:val="004A3997"/>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28">
    <w:name w:val="Font Style28"/>
    <w:uiPriority w:val="99"/>
    <w:rsid w:val="004A3997"/>
    <w:rPr>
      <w:rFonts w:ascii="Times New Roman" w:hAnsi="Times New Roman" w:cs="Times New Roman"/>
      <w:b/>
      <w:bCs/>
      <w:sz w:val="16"/>
      <w:szCs w:val="16"/>
    </w:rPr>
  </w:style>
  <w:style w:type="character" w:customStyle="1" w:styleId="FontStyle24">
    <w:name w:val="Font Style24"/>
    <w:uiPriority w:val="99"/>
    <w:rsid w:val="004A3997"/>
    <w:rPr>
      <w:rFonts w:ascii="Times New Roman" w:hAnsi="Times New Roman" w:cs="Times New Roman"/>
      <w:b/>
      <w:bCs/>
      <w:sz w:val="14"/>
      <w:szCs w:val="14"/>
    </w:rPr>
  </w:style>
  <w:style w:type="paragraph" w:customStyle="1" w:styleId="Style13">
    <w:name w:val="Style13"/>
    <w:basedOn w:val="a"/>
    <w:uiPriority w:val="99"/>
    <w:rsid w:val="004A3997"/>
    <w:pPr>
      <w:widowControl w:val="0"/>
      <w:autoSpaceDE w:val="0"/>
      <w:autoSpaceDN w:val="0"/>
      <w:adjustRightInd w:val="0"/>
      <w:spacing w:after="0" w:line="240" w:lineRule="auto"/>
    </w:pPr>
    <w:rPr>
      <w:rFonts w:ascii="Tahoma" w:eastAsia="Times New Roman" w:hAnsi="Tahoma" w:cs="Tahoma"/>
      <w:sz w:val="24"/>
      <w:szCs w:val="24"/>
    </w:rPr>
  </w:style>
  <w:style w:type="paragraph" w:styleId="a6">
    <w:name w:val="List Paragraph"/>
    <w:basedOn w:val="a"/>
    <w:uiPriority w:val="34"/>
    <w:qFormat/>
    <w:rsid w:val="004A3997"/>
    <w:pPr>
      <w:ind w:left="720"/>
      <w:contextualSpacing/>
    </w:pPr>
  </w:style>
  <w:style w:type="character" w:customStyle="1" w:styleId="10">
    <w:name w:val="Заголовок 1 Знак"/>
    <w:basedOn w:val="a0"/>
    <w:link w:val="1"/>
    <w:uiPriority w:val="9"/>
    <w:rsid w:val="00CA7D46"/>
    <w:rPr>
      <w:rFonts w:ascii="Times New Roman" w:eastAsia="Times New Roman" w:hAnsi="Times New Roman" w:cs="Times New Roman"/>
      <w:b/>
      <w:sz w:val="28"/>
      <w:szCs w:val="28"/>
      <w:lang w:eastAsia="ru-RU"/>
    </w:rPr>
  </w:style>
  <w:style w:type="character" w:styleId="a7">
    <w:name w:val="Emphasis"/>
    <w:uiPriority w:val="20"/>
    <w:qFormat/>
    <w:rsid w:val="00517015"/>
    <w:rPr>
      <w:i/>
      <w:iCs/>
    </w:rPr>
  </w:style>
  <w:style w:type="character" w:customStyle="1" w:styleId="a8">
    <w:name w:val="Основной текст_"/>
    <w:link w:val="12"/>
    <w:locked/>
    <w:rsid w:val="00517015"/>
    <w:rPr>
      <w:sz w:val="27"/>
      <w:szCs w:val="27"/>
      <w:shd w:val="clear" w:color="auto" w:fill="FFFFFF"/>
    </w:rPr>
  </w:style>
  <w:style w:type="paragraph" w:customStyle="1" w:styleId="12">
    <w:name w:val="Основной текст1"/>
    <w:basedOn w:val="a"/>
    <w:link w:val="a8"/>
    <w:rsid w:val="00517015"/>
    <w:pPr>
      <w:widowControl w:val="0"/>
      <w:shd w:val="clear" w:color="auto" w:fill="FFFFFF"/>
      <w:spacing w:after="240" w:line="323" w:lineRule="exact"/>
    </w:pPr>
    <w:rPr>
      <w:rFonts w:eastAsiaTheme="minorHAnsi"/>
      <w:sz w:val="27"/>
      <w:szCs w:val="27"/>
      <w:lang w:eastAsia="en-US"/>
    </w:rPr>
  </w:style>
  <w:style w:type="paragraph" w:customStyle="1" w:styleId="Textbody">
    <w:name w:val="Text body"/>
    <w:basedOn w:val="a"/>
    <w:rsid w:val="00097E7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a9">
    <w:name w:val="Hyperlink"/>
    <w:rsid w:val="001F1E15"/>
    <w:rPr>
      <w:color w:val="000080"/>
      <w:u w:val="single"/>
    </w:rPr>
  </w:style>
  <w:style w:type="paragraph" w:styleId="aa">
    <w:name w:val="No Spacing"/>
    <w:link w:val="ab"/>
    <w:uiPriority w:val="1"/>
    <w:qFormat/>
    <w:rsid w:val="006D30D7"/>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6D30D7"/>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D2188A"/>
    <w:rPr>
      <w:rFonts w:asciiTheme="majorHAnsi" w:eastAsiaTheme="majorEastAsia" w:hAnsiTheme="majorHAnsi" w:cstheme="majorBidi"/>
      <w:b/>
      <w:bCs/>
      <w:color w:val="4F81BD" w:themeColor="accent1"/>
      <w:lang w:eastAsia="ru-RU"/>
    </w:rPr>
  </w:style>
  <w:style w:type="paragraph" w:customStyle="1" w:styleId="ConsPlusNormal">
    <w:name w:val="ConsPlusNormal"/>
    <w:link w:val="ConsPlusNormal0"/>
    <w:rsid w:val="00713D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13D5D"/>
    <w:rPr>
      <w:rFonts w:ascii="Arial" w:eastAsia="Times New Roman" w:hAnsi="Arial" w:cs="Arial"/>
      <w:sz w:val="20"/>
      <w:szCs w:val="20"/>
      <w:lang w:eastAsia="ru-RU"/>
    </w:rPr>
  </w:style>
  <w:style w:type="paragraph" w:styleId="ac">
    <w:name w:val="header"/>
    <w:basedOn w:val="a"/>
    <w:link w:val="ad"/>
    <w:uiPriority w:val="99"/>
    <w:unhideWhenUsed/>
    <w:rsid w:val="00D95E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5E8E"/>
    <w:rPr>
      <w:rFonts w:eastAsiaTheme="minorEastAsia"/>
      <w:lang w:eastAsia="ru-RU"/>
    </w:rPr>
  </w:style>
  <w:style w:type="paragraph" w:styleId="ae">
    <w:name w:val="footer"/>
    <w:basedOn w:val="a"/>
    <w:link w:val="af"/>
    <w:uiPriority w:val="99"/>
    <w:unhideWhenUsed/>
    <w:rsid w:val="00D95E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5E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3104">
      <w:bodyDiv w:val="1"/>
      <w:marLeft w:val="0"/>
      <w:marRight w:val="0"/>
      <w:marTop w:val="0"/>
      <w:marBottom w:val="0"/>
      <w:divBdr>
        <w:top w:val="none" w:sz="0" w:space="0" w:color="auto"/>
        <w:left w:val="none" w:sz="0" w:space="0" w:color="auto"/>
        <w:bottom w:val="none" w:sz="0" w:space="0" w:color="auto"/>
        <w:right w:val="none" w:sz="0" w:space="0" w:color="auto"/>
      </w:divBdr>
    </w:div>
    <w:div w:id="662781250">
      <w:bodyDiv w:val="1"/>
      <w:marLeft w:val="0"/>
      <w:marRight w:val="0"/>
      <w:marTop w:val="0"/>
      <w:marBottom w:val="0"/>
      <w:divBdr>
        <w:top w:val="none" w:sz="0" w:space="0" w:color="auto"/>
        <w:left w:val="none" w:sz="0" w:space="0" w:color="auto"/>
        <w:bottom w:val="none" w:sz="0" w:space="0" w:color="auto"/>
        <w:right w:val="none" w:sz="0" w:space="0" w:color="auto"/>
      </w:divBdr>
    </w:div>
    <w:div w:id="2096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l-group.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5EE64FD248A6641902EE54263DECB3CBC6F1042916EDF7540258CACEE010F781715EA98C6E3A9Z5TCM" TargetMode="External"/><Relationship Id="rId5" Type="http://schemas.openxmlformats.org/officeDocument/2006/relationships/webSettings" Target="webSettings.xml"/><Relationship Id="rId10" Type="http://schemas.openxmlformats.org/officeDocument/2006/relationships/hyperlink" Target="consultantplus://offline/ref=8005BC3C6148B0002B46CD9DC83813693C29E8AD473B3F3AC9725DE570C2D817642F039C7FYF0BN" TargetMode="External"/><Relationship Id="rId4" Type="http://schemas.openxmlformats.org/officeDocument/2006/relationships/settings" Target="settings.xml"/><Relationship Id="rId9" Type="http://schemas.openxmlformats.org/officeDocument/2006/relationships/hyperlink" Target="consultantplus://offline/ref=8005BC3C6148B0002B46CD9DC83813693C29E8AD473B3F3AC9725DE570C2D817642F039C7DYF0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F80D-7B97-4C99-AA38-DA4B68B3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Дарья Дмитриевна</dc:creator>
  <cp:lastModifiedBy>Юрова Кристина Игоревна</cp:lastModifiedBy>
  <cp:revision>48</cp:revision>
  <cp:lastPrinted>2019-02-14T07:44:00Z</cp:lastPrinted>
  <dcterms:created xsi:type="dcterms:W3CDTF">2018-01-26T08:54:00Z</dcterms:created>
  <dcterms:modified xsi:type="dcterms:W3CDTF">2019-04-04T13:34:00Z</dcterms:modified>
</cp:coreProperties>
</file>