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FBC" w:rsidRPr="003A124A" w:rsidRDefault="001B5FBC" w:rsidP="001B5FBC">
      <w:pPr>
        <w:spacing w:after="0" w:line="240" w:lineRule="auto"/>
        <w:jc w:val="center"/>
        <w:rPr>
          <w:rFonts w:ascii="Times New Roman" w:eastAsia="Times New Roman" w:hAnsi="Times New Roman" w:cs="Times New Roman"/>
          <w:b/>
          <w:sz w:val="24"/>
        </w:rPr>
      </w:pPr>
      <w:r w:rsidRPr="003A124A">
        <w:rPr>
          <w:rFonts w:ascii="Times New Roman" w:eastAsia="Times New Roman" w:hAnsi="Times New Roman" w:cs="Times New Roman"/>
          <w:b/>
          <w:sz w:val="24"/>
        </w:rPr>
        <w:t xml:space="preserve">«Итоги работы Липецкого УФАС России </w:t>
      </w:r>
    </w:p>
    <w:p w:rsidR="001B5FBC" w:rsidRPr="003A124A" w:rsidRDefault="001B5FBC" w:rsidP="001B5FBC">
      <w:pPr>
        <w:spacing w:after="0" w:line="240" w:lineRule="auto"/>
        <w:jc w:val="center"/>
        <w:rPr>
          <w:rFonts w:ascii="Times New Roman" w:eastAsia="Times New Roman" w:hAnsi="Times New Roman" w:cs="Times New Roman"/>
          <w:b/>
          <w:sz w:val="24"/>
        </w:rPr>
      </w:pPr>
      <w:r w:rsidRPr="003A124A">
        <w:rPr>
          <w:rFonts w:ascii="Times New Roman" w:eastAsia="Times New Roman" w:hAnsi="Times New Roman" w:cs="Times New Roman"/>
          <w:b/>
          <w:sz w:val="24"/>
        </w:rPr>
        <w:t xml:space="preserve">за истекший период 2017 года»  </w:t>
      </w:r>
    </w:p>
    <w:p w:rsidR="001B5FBC" w:rsidRPr="003A124A" w:rsidRDefault="001B5FBC" w:rsidP="00750D28">
      <w:pPr>
        <w:spacing w:after="0" w:line="240" w:lineRule="auto"/>
        <w:ind w:left="1416" w:firstLine="708"/>
        <w:rPr>
          <w:rFonts w:ascii="Times New Roman" w:eastAsia="Times New Roman" w:hAnsi="Times New Roman" w:cs="Times New Roman"/>
          <w:b/>
          <w:bCs/>
          <w:color w:val="000000"/>
          <w:sz w:val="24"/>
          <w:shd w:val="clear" w:color="auto" w:fill="FFFFFF"/>
        </w:rPr>
      </w:pPr>
    </w:p>
    <w:p w:rsidR="00ED1877" w:rsidRPr="003A124A" w:rsidRDefault="00ED1877" w:rsidP="00327C6C">
      <w:pPr>
        <w:spacing w:after="0" w:line="240" w:lineRule="auto"/>
        <w:ind w:left="426" w:firstLine="708"/>
        <w:rPr>
          <w:rFonts w:ascii="Times New Roman" w:eastAsia="Times New Roman" w:hAnsi="Times New Roman" w:cs="Times New Roman"/>
          <w:b/>
          <w:bCs/>
          <w:color w:val="000000"/>
          <w:sz w:val="24"/>
          <w:shd w:val="clear" w:color="auto" w:fill="FFFFFF"/>
        </w:rPr>
      </w:pPr>
      <w:r w:rsidRPr="003A124A">
        <w:rPr>
          <w:rFonts w:ascii="Times New Roman" w:eastAsia="Times New Roman" w:hAnsi="Times New Roman" w:cs="Times New Roman"/>
          <w:b/>
          <w:bCs/>
          <w:color w:val="000000"/>
          <w:sz w:val="24"/>
          <w:shd w:val="clear" w:color="auto" w:fill="FFFFFF"/>
        </w:rPr>
        <w:t xml:space="preserve">Контроль за соблюдением </w:t>
      </w:r>
      <w:r w:rsidR="00327C6C" w:rsidRPr="003A124A">
        <w:rPr>
          <w:rFonts w:ascii="Times New Roman" w:eastAsia="Times New Roman" w:hAnsi="Times New Roman" w:cs="Times New Roman"/>
          <w:b/>
          <w:bCs/>
          <w:color w:val="000000"/>
          <w:sz w:val="24"/>
          <w:shd w:val="clear" w:color="auto" w:fill="FFFFFF"/>
        </w:rPr>
        <w:t xml:space="preserve">Федерального </w:t>
      </w:r>
      <w:r w:rsidRPr="003A124A">
        <w:rPr>
          <w:rFonts w:ascii="Times New Roman" w:eastAsia="Times New Roman" w:hAnsi="Times New Roman" w:cs="Times New Roman"/>
          <w:b/>
          <w:bCs/>
          <w:color w:val="000000"/>
          <w:sz w:val="24"/>
          <w:shd w:val="clear" w:color="auto" w:fill="FFFFFF"/>
        </w:rPr>
        <w:t xml:space="preserve">Закона </w:t>
      </w:r>
      <w:r w:rsidR="00327C6C" w:rsidRPr="003A124A">
        <w:rPr>
          <w:rFonts w:ascii="Times New Roman" w:eastAsia="Times New Roman" w:hAnsi="Times New Roman" w:cs="Times New Roman"/>
          <w:b/>
          <w:bCs/>
          <w:color w:val="000000"/>
          <w:sz w:val="24"/>
          <w:shd w:val="clear" w:color="auto" w:fill="FFFFFF"/>
        </w:rPr>
        <w:t>«О</w:t>
      </w:r>
      <w:r w:rsidRPr="003A124A">
        <w:rPr>
          <w:rFonts w:ascii="Times New Roman" w:eastAsia="Times New Roman" w:hAnsi="Times New Roman" w:cs="Times New Roman"/>
          <w:b/>
          <w:bCs/>
          <w:color w:val="000000"/>
          <w:sz w:val="24"/>
          <w:shd w:val="clear" w:color="auto" w:fill="FFFFFF"/>
        </w:rPr>
        <w:t xml:space="preserve"> рекламе</w:t>
      </w:r>
      <w:r w:rsidR="00327C6C" w:rsidRPr="003A124A">
        <w:rPr>
          <w:rFonts w:ascii="Times New Roman" w:eastAsia="Times New Roman" w:hAnsi="Times New Roman" w:cs="Times New Roman"/>
          <w:b/>
          <w:bCs/>
          <w:color w:val="000000"/>
          <w:sz w:val="24"/>
          <w:shd w:val="clear" w:color="auto" w:fill="FFFFFF"/>
        </w:rPr>
        <w:t>»</w:t>
      </w:r>
    </w:p>
    <w:p w:rsidR="001F0BC2" w:rsidRPr="003A124A" w:rsidRDefault="001F0BC2" w:rsidP="00ED1877">
      <w:pPr>
        <w:spacing w:after="0" w:line="240" w:lineRule="auto"/>
        <w:jc w:val="center"/>
        <w:rPr>
          <w:rFonts w:ascii="Times New Roman" w:eastAsia="Times New Roman" w:hAnsi="Times New Roman" w:cs="Times New Roman"/>
          <w:b/>
          <w:i/>
          <w:sz w:val="24"/>
        </w:rPr>
      </w:pPr>
    </w:p>
    <w:p w:rsidR="001B5FBC" w:rsidRPr="003A124A" w:rsidRDefault="001B5FBC" w:rsidP="001B5FBC">
      <w:pPr>
        <w:spacing w:after="0" w:line="240" w:lineRule="auto"/>
        <w:ind w:firstLine="708"/>
        <w:jc w:val="both"/>
        <w:rPr>
          <w:rFonts w:ascii="Times New Roman" w:eastAsia="Times New Roman" w:hAnsi="Times New Roman" w:cs="Times New Roman"/>
          <w:sz w:val="24"/>
        </w:rPr>
      </w:pPr>
      <w:r w:rsidRPr="003A124A">
        <w:rPr>
          <w:rFonts w:ascii="Times New Roman" w:eastAsia="Times New Roman" w:hAnsi="Times New Roman" w:cs="Times New Roman"/>
          <w:sz w:val="24"/>
        </w:rPr>
        <w:t>В истекшем периоде 2017 года Липецким УФАС России было рассмотрено 41 обращение физических и юридических лиц по вопросам о нарушениях законодательства о рекламе, возбуждено 26 дел, рассмотрено -16, по которым признаны вменяемые нарушения и выдано 6 предписаний (5 исполнены).  В первом полугодии 2016 года - 28 обращени</w:t>
      </w:r>
      <w:r w:rsidR="00FF3EA9" w:rsidRPr="003A124A">
        <w:rPr>
          <w:rFonts w:ascii="Times New Roman" w:eastAsia="Times New Roman" w:hAnsi="Times New Roman" w:cs="Times New Roman"/>
          <w:sz w:val="24"/>
        </w:rPr>
        <w:t>й</w:t>
      </w:r>
      <w:r w:rsidRPr="003A124A">
        <w:rPr>
          <w:rFonts w:ascii="Times New Roman" w:eastAsia="Times New Roman" w:hAnsi="Times New Roman" w:cs="Times New Roman"/>
          <w:sz w:val="24"/>
        </w:rPr>
        <w:t xml:space="preserve">, возбуждено 8 дел, выдано 2 предписания (исполнены). </w:t>
      </w:r>
    </w:p>
    <w:p w:rsidR="001B5FBC" w:rsidRPr="003A124A" w:rsidRDefault="001B5FBC" w:rsidP="001B5FBC">
      <w:pPr>
        <w:spacing w:after="0" w:line="240" w:lineRule="auto"/>
        <w:ind w:firstLine="708"/>
        <w:jc w:val="both"/>
        <w:rPr>
          <w:rFonts w:ascii="Times New Roman" w:hAnsi="Times New Roman" w:cs="Times New Roman"/>
          <w:i/>
        </w:rPr>
      </w:pPr>
      <w:r w:rsidRPr="003A124A">
        <w:rPr>
          <w:rFonts w:ascii="Times New Roman" w:hAnsi="Times New Roman" w:cs="Times New Roman"/>
          <w:i/>
        </w:rPr>
        <w:t>При размещении рекламы ООО «</w:t>
      </w:r>
      <w:proofErr w:type="spellStart"/>
      <w:r w:rsidRPr="003A124A">
        <w:rPr>
          <w:rFonts w:ascii="Times New Roman" w:hAnsi="Times New Roman" w:cs="Times New Roman"/>
          <w:i/>
        </w:rPr>
        <w:t>Ярстрой</w:t>
      </w:r>
      <w:proofErr w:type="spellEnd"/>
      <w:r w:rsidRPr="003A124A">
        <w:rPr>
          <w:rFonts w:ascii="Times New Roman" w:hAnsi="Times New Roman" w:cs="Times New Roman"/>
          <w:i/>
        </w:rPr>
        <w:t>» ввело потребителей в заблуждение путем использования в рекламе ссылки на рекомендацию государственных органов: «при поддержке Управления по развитию малого и среднего бизнеса и Регионального Центра Инжиниринга». П. 2 ч. 5 ст. 5 Закона о рекламе установлено, что в рекламе не допускается указание на то, что объект рекламирования одобряется органами государственной власти или органами местного самоуправления либо их должностными лицами. Указанная норма Закона о рекламе не допускает в рекламе товаров, юридических и физических лиц эксплуатацию доверия потребителей к органам государственной власти. В этих целях запрещается указывать на то, что объект рекламирования одобряется органами государственной власти или органами местного самоуправления либо их должностными лицами.</w:t>
      </w:r>
    </w:p>
    <w:p w:rsidR="001B5FBC" w:rsidRPr="003A124A" w:rsidRDefault="001B5FBC" w:rsidP="001B5FBC">
      <w:pPr>
        <w:spacing w:after="0" w:line="240" w:lineRule="auto"/>
        <w:ind w:firstLine="708"/>
        <w:jc w:val="both"/>
        <w:rPr>
          <w:rFonts w:ascii="Times New Roman" w:hAnsi="Times New Roman" w:cs="Times New Roman"/>
          <w:i/>
          <w:sz w:val="24"/>
        </w:rPr>
      </w:pPr>
      <w:r w:rsidRPr="003A124A">
        <w:rPr>
          <w:rFonts w:ascii="Times New Roman" w:hAnsi="Times New Roman" w:cs="Times New Roman"/>
          <w:sz w:val="24"/>
        </w:rPr>
        <w:t>Рассматривались дела, связанные с распространением рекламы (в печатных изданиях) медицинских услуг, без указания</w:t>
      </w:r>
      <w:r w:rsidRPr="003A124A">
        <w:rPr>
          <w:sz w:val="24"/>
        </w:rPr>
        <w:t xml:space="preserve"> </w:t>
      </w:r>
      <w:r w:rsidRPr="003A124A">
        <w:rPr>
          <w:rFonts w:ascii="Times New Roman" w:hAnsi="Times New Roman" w:cs="Times New Roman"/>
          <w:sz w:val="24"/>
        </w:rPr>
        <w:t>предупреждений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w:t>
      </w:r>
      <w:r w:rsidRPr="003A124A">
        <w:rPr>
          <w:rFonts w:ascii="Times New Roman" w:hAnsi="Times New Roman" w:cs="Times New Roman"/>
          <w:i/>
          <w:sz w:val="24"/>
        </w:rPr>
        <w:t xml:space="preserve">; </w:t>
      </w:r>
      <w:r w:rsidRPr="003A124A">
        <w:rPr>
          <w:rFonts w:ascii="Times New Roman" w:hAnsi="Times New Roman" w:cs="Times New Roman"/>
          <w:sz w:val="24"/>
        </w:rPr>
        <w:t>рекламы финансовых услуг, где умалчивалась информация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 специалистов</w:t>
      </w:r>
      <w:r w:rsidRPr="003A124A">
        <w:rPr>
          <w:rFonts w:ascii="Times New Roman" w:hAnsi="Times New Roman" w:cs="Times New Roman"/>
          <w:i/>
          <w:sz w:val="24"/>
        </w:rPr>
        <w:t>.</w:t>
      </w:r>
    </w:p>
    <w:p w:rsidR="001B5FBC" w:rsidRPr="003A124A" w:rsidRDefault="001B5FBC" w:rsidP="001B5FBC">
      <w:pPr>
        <w:spacing w:after="0" w:line="240" w:lineRule="auto"/>
        <w:ind w:firstLine="708"/>
        <w:jc w:val="both"/>
        <w:rPr>
          <w:rFonts w:ascii="Times New Roman" w:hAnsi="Times New Roman" w:cs="Times New Roman"/>
          <w:i/>
        </w:rPr>
      </w:pPr>
    </w:p>
    <w:p w:rsidR="00ED1877" w:rsidRPr="003A124A" w:rsidRDefault="00ED1877" w:rsidP="007B678C">
      <w:pPr>
        <w:spacing w:before="100" w:after="100" w:line="240" w:lineRule="auto"/>
        <w:jc w:val="center"/>
        <w:rPr>
          <w:rFonts w:ascii="Times New Roman" w:eastAsia="Times New Roman" w:hAnsi="Times New Roman" w:cs="Times New Roman"/>
          <w:b/>
          <w:color w:val="434343"/>
          <w:sz w:val="24"/>
        </w:rPr>
      </w:pPr>
      <w:r w:rsidRPr="003A124A">
        <w:rPr>
          <w:rFonts w:ascii="Times New Roman" w:eastAsia="Times New Roman" w:hAnsi="Times New Roman" w:cs="Times New Roman"/>
          <w:b/>
          <w:sz w:val="24"/>
        </w:rPr>
        <w:t>Контроль соблюдения Федерального закона «О контрактной системе в сфере закупок товаров, работ, услуг для обеспечения государственных и муниципальных нужд»</w:t>
      </w:r>
    </w:p>
    <w:p w:rsidR="00ED1877" w:rsidRPr="003A124A" w:rsidRDefault="00ED1877" w:rsidP="00ED1877">
      <w:pPr>
        <w:spacing w:after="0" w:line="240" w:lineRule="auto"/>
        <w:ind w:firstLine="567"/>
        <w:jc w:val="both"/>
        <w:rPr>
          <w:rFonts w:ascii="Times New Roman" w:hAnsi="Times New Roman" w:cs="Times New Roman"/>
          <w:shd w:val="clear" w:color="auto" w:fill="FFFFFF"/>
        </w:rPr>
      </w:pPr>
    </w:p>
    <w:tbl>
      <w:tblPr>
        <w:tblpPr w:leftFromText="180" w:rightFromText="180" w:vertAnchor="text" w:horzAnchor="margin"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6"/>
        <w:gridCol w:w="2011"/>
        <w:gridCol w:w="1984"/>
      </w:tblGrid>
      <w:tr w:rsidR="00ED1877" w:rsidRPr="003A124A" w:rsidTr="003A124A">
        <w:trPr>
          <w:trHeight w:val="251"/>
        </w:trPr>
        <w:tc>
          <w:tcPr>
            <w:tcW w:w="3626" w:type="dxa"/>
            <w:shd w:val="clear" w:color="auto" w:fill="auto"/>
          </w:tcPr>
          <w:p w:rsidR="00ED1877" w:rsidRPr="003A124A" w:rsidRDefault="00ED1877" w:rsidP="00912B67">
            <w:pPr>
              <w:spacing w:after="160" w:line="240" w:lineRule="auto"/>
              <w:rPr>
                <w:rFonts w:ascii="Times New Roman" w:eastAsia="Calibri" w:hAnsi="Times New Roman" w:cs="Times New Roman"/>
                <w:sz w:val="20"/>
                <w:lang w:eastAsia="en-US"/>
              </w:rPr>
            </w:pPr>
          </w:p>
        </w:tc>
        <w:tc>
          <w:tcPr>
            <w:tcW w:w="2011" w:type="dxa"/>
            <w:shd w:val="clear" w:color="auto" w:fill="auto"/>
          </w:tcPr>
          <w:p w:rsidR="00ED1877" w:rsidRPr="003A124A" w:rsidRDefault="00804119" w:rsidP="00BA3F8A">
            <w:pPr>
              <w:spacing w:after="160" w:line="240" w:lineRule="auto"/>
              <w:jc w:val="center"/>
              <w:rPr>
                <w:rFonts w:ascii="Times New Roman" w:eastAsia="Calibri" w:hAnsi="Times New Roman" w:cs="Times New Roman"/>
                <w:sz w:val="20"/>
                <w:lang w:eastAsia="en-US"/>
              </w:rPr>
            </w:pPr>
            <w:r>
              <w:rPr>
                <w:rFonts w:ascii="Times New Roman" w:eastAsia="Calibri" w:hAnsi="Times New Roman" w:cs="Times New Roman"/>
                <w:sz w:val="20"/>
                <w:lang w:eastAsia="en-US"/>
              </w:rPr>
              <w:t>Отчетный период</w:t>
            </w:r>
            <w:r w:rsidR="00ED1877" w:rsidRPr="003A124A">
              <w:rPr>
                <w:rFonts w:ascii="Times New Roman" w:eastAsia="Calibri" w:hAnsi="Times New Roman" w:cs="Times New Roman"/>
                <w:sz w:val="20"/>
                <w:lang w:eastAsia="en-US"/>
              </w:rPr>
              <w:t xml:space="preserve"> 201</w:t>
            </w:r>
            <w:r w:rsidR="00BA3F8A" w:rsidRPr="003A124A">
              <w:rPr>
                <w:rFonts w:ascii="Times New Roman" w:eastAsia="Calibri" w:hAnsi="Times New Roman" w:cs="Times New Roman"/>
                <w:sz w:val="20"/>
                <w:lang w:eastAsia="en-US"/>
              </w:rPr>
              <w:t>7</w:t>
            </w:r>
            <w:r w:rsidR="00ED1877" w:rsidRPr="003A124A">
              <w:rPr>
                <w:rFonts w:ascii="Times New Roman" w:eastAsia="Calibri" w:hAnsi="Times New Roman" w:cs="Times New Roman"/>
                <w:sz w:val="20"/>
                <w:lang w:eastAsia="en-US"/>
              </w:rPr>
              <w:t>г</w:t>
            </w:r>
          </w:p>
        </w:tc>
        <w:tc>
          <w:tcPr>
            <w:tcW w:w="1984" w:type="dxa"/>
            <w:shd w:val="clear" w:color="auto" w:fill="auto"/>
          </w:tcPr>
          <w:p w:rsidR="00ED1877" w:rsidRPr="003A124A" w:rsidRDefault="00804119" w:rsidP="00BA3F8A">
            <w:pPr>
              <w:spacing w:after="160" w:line="240" w:lineRule="auto"/>
              <w:jc w:val="center"/>
              <w:rPr>
                <w:rFonts w:ascii="Times New Roman" w:eastAsia="Calibri" w:hAnsi="Times New Roman" w:cs="Times New Roman"/>
                <w:sz w:val="20"/>
                <w:lang w:eastAsia="en-US"/>
              </w:rPr>
            </w:pPr>
            <w:r>
              <w:rPr>
                <w:rFonts w:ascii="Times New Roman" w:eastAsia="Calibri" w:hAnsi="Times New Roman" w:cs="Times New Roman"/>
                <w:sz w:val="20"/>
                <w:lang w:eastAsia="en-US"/>
              </w:rPr>
              <w:t>Отчетный период</w:t>
            </w:r>
            <w:bookmarkStart w:id="0" w:name="_GoBack"/>
            <w:bookmarkEnd w:id="0"/>
            <w:r w:rsidR="00ED1877" w:rsidRPr="003A124A">
              <w:rPr>
                <w:rFonts w:ascii="Times New Roman" w:eastAsia="Calibri" w:hAnsi="Times New Roman" w:cs="Times New Roman"/>
                <w:sz w:val="20"/>
                <w:lang w:eastAsia="en-US"/>
              </w:rPr>
              <w:t xml:space="preserve"> </w:t>
            </w:r>
            <w:r w:rsidR="00BA3F8A" w:rsidRPr="003A124A">
              <w:rPr>
                <w:rFonts w:ascii="Times New Roman" w:eastAsia="Calibri" w:hAnsi="Times New Roman" w:cs="Times New Roman"/>
                <w:sz w:val="20"/>
                <w:lang w:eastAsia="en-US"/>
              </w:rPr>
              <w:br/>
            </w:r>
            <w:r w:rsidR="00ED1877" w:rsidRPr="003A124A">
              <w:rPr>
                <w:rFonts w:ascii="Times New Roman" w:eastAsia="Calibri" w:hAnsi="Times New Roman" w:cs="Times New Roman"/>
                <w:sz w:val="20"/>
                <w:lang w:eastAsia="en-US"/>
              </w:rPr>
              <w:t>201</w:t>
            </w:r>
            <w:r w:rsidR="00BA3F8A" w:rsidRPr="003A124A">
              <w:rPr>
                <w:rFonts w:ascii="Times New Roman" w:eastAsia="Calibri" w:hAnsi="Times New Roman" w:cs="Times New Roman"/>
                <w:sz w:val="20"/>
                <w:lang w:eastAsia="en-US"/>
              </w:rPr>
              <w:t>6</w:t>
            </w:r>
            <w:r w:rsidR="00ED1877" w:rsidRPr="003A124A">
              <w:rPr>
                <w:rFonts w:ascii="Times New Roman" w:eastAsia="Calibri" w:hAnsi="Times New Roman" w:cs="Times New Roman"/>
                <w:sz w:val="20"/>
                <w:lang w:eastAsia="en-US"/>
              </w:rPr>
              <w:t>г</w:t>
            </w:r>
          </w:p>
        </w:tc>
      </w:tr>
      <w:tr w:rsidR="00BA3F8A" w:rsidRPr="003A124A" w:rsidTr="003A124A">
        <w:trPr>
          <w:trHeight w:val="298"/>
        </w:trPr>
        <w:tc>
          <w:tcPr>
            <w:tcW w:w="3626" w:type="dxa"/>
            <w:shd w:val="clear" w:color="auto" w:fill="auto"/>
          </w:tcPr>
          <w:p w:rsidR="00BA3F8A" w:rsidRPr="003A124A" w:rsidRDefault="00BA3F8A" w:rsidP="00BA3F8A">
            <w:pPr>
              <w:spacing w:after="160" w:line="240" w:lineRule="auto"/>
              <w:rPr>
                <w:rFonts w:ascii="Times New Roman" w:eastAsia="Calibri" w:hAnsi="Times New Roman" w:cs="Times New Roman"/>
                <w:sz w:val="20"/>
                <w:lang w:eastAsia="en-US"/>
              </w:rPr>
            </w:pPr>
            <w:r w:rsidRPr="003A124A">
              <w:rPr>
                <w:rFonts w:ascii="Times New Roman" w:eastAsia="Calibri" w:hAnsi="Times New Roman" w:cs="Times New Roman"/>
                <w:sz w:val="20"/>
                <w:lang w:eastAsia="en-US"/>
              </w:rPr>
              <w:t>Рассмотрение жалоб по №44-ФЗ</w:t>
            </w:r>
          </w:p>
        </w:tc>
        <w:tc>
          <w:tcPr>
            <w:tcW w:w="2011" w:type="dxa"/>
            <w:shd w:val="clear" w:color="auto" w:fill="auto"/>
          </w:tcPr>
          <w:p w:rsidR="00BA3F8A" w:rsidRPr="003A124A" w:rsidRDefault="001B566F" w:rsidP="00BA3F8A">
            <w:pPr>
              <w:spacing w:after="160" w:line="240" w:lineRule="auto"/>
              <w:jc w:val="center"/>
              <w:rPr>
                <w:rFonts w:ascii="Times New Roman" w:eastAsia="Calibri" w:hAnsi="Times New Roman" w:cs="Times New Roman"/>
                <w:sz w:val="20"/>
                <w:lang w:eastAsia="en-US"/>
              </w:rPr>
            </w:pPr>
            <w:r w:rsidRPr="003A124A">
              <w:rPr>
                <w:rFonts w:ascii="Times New Roman" w:eastAsia="Calibri" w:hAnsi="Times New Roman" w:cs="Times New Roman"/>
                <w:sz w:val="20"/>
                <w:lang w:eastAsia="en-US"/>
              </w:rPr>
              <w:t>186</w:t>
            </w:r>
          </w:p>
        </w:tc>
        <w:tc>
          <w:tcPr>
            <w:tcW w:w="1984" w:type="dxa"/>
            <w:shd w:val="clear" w:color="auto" w:fill="auto"/>
          </w:tcPr>
          <w:p w:rsidR="00BA3F8A" w:rsidRPr="003A124A" w:rsidRDefault="00BA3F8A" w:rsidP="00BA3F8A">
            <w:pPr>
              <w:spacing w:after="160" w:line="240" w:lineRule="auto"/>
              <w:jc w:val="center"/>
              <w:rPr>
                <w:rFonts w:ascii="Times New Roman" w:eastAsia="Calibri" w:hAnsi="Times New Roman" w:cs="Times New Roman"/>
                <w:sz w:val="20"/>
                <w:lang w:eastAsia="en-US"/>
              </w:rPr>
            </w:pPr>
            <w:r w:rsidRPr="003A124A">
              <w:rPr>
                <w:rFonts w:ascii="Times New Roman" w:eastAsia="Calibri" w:hAnsi="Times New Roman" w:cs="Times New Roman"/>
                <w:sz w:val="20"/>
                <w:lang w:eastAsia="en-US"/>
              </w:rPr>
              <w:t>129</w:t>
            </w:r>
          </w:p>
        </w:tc>
      </w:tr>
      <w:tr w:rsidR="00BA3F8A" w:rsidRPr="003A124A" w:rsidTr="003A124A">
        <w:trPr>
          <w:trHeight w:val="58"/>
        </w:trPr>
        <w:tc>
          <w:tcPr>
            <w:tcW w:w="3626" w:type="dxa"/>
            <w:shd w:val="clear" w:color="auto" w:fill="auto"/>
          </w:tcPr>
          <w:p w:rsidR="00BA3F8A" w:rsidRPr="003A124A" w:rsidRDefault="00BA3F8A" w:rsidP="00BA3F8A">
            <w:pPr>
              <w:spacing w:after="160" w:line="240" w:lineRule="auto"/>
              <w:rPr>
                <w:rFonts w:ascii="Times New Roman" w:eastAsia="Calibri" w:hAnsi="Times New Roman" w:cs="Times New Roman"/>
                <w:sz w:val="20"/>
                <w:lang w:eastAsia="en-US"/>
              </w:rPr>
            </w:pPr>
            <w:r w:rsidRPr="003A124A">
              <w:rPr>
                <w:rFonts w:ascii="Times New Roman" w:eastAsia="Calibri" w:hAnsi="Times New Roman" w:cs="Times New Roman"/>
                <w:sz w:val="20"/>
                <w:lang w:eastAsia="en-US"/>
              </w:rPr>
              <w:t>Проведение проверок №44-ФЗ</w:t>
            </w:r>
          </w:p>
        </w:tc>
        <w:tc>
          <w:tcPr>
            <w:tcW w:w="2011" w:type="dxa"/>
            <w:shd w:val="clear" w:color="auto" w:fill="auto"/>
          </w:tcPr>
          <w:p w:rsidR="00BA3F8A" w:rsidRPr="003A124A" w:rsidRDefault="00FA06EE" w:rsidP="00BA3F8A">
            <w:pPr>
              <w:spacing w:after="160" w:line="240" w:lineRule="auto"/>
              <w:jc w:val="center"/>
              <w:rPr>
                <w:rFonts w:ascii="Times New Roman" w:eastAsia="Calibri" w:hAnsi="Times New Roman" w:cs="Times New Roman"/>
                <w:sz w:val="20"/>
                <w:lang w:eastAsia="en-US"/>
              </w:rPr>
            </w:pPr>
            <w:r w:rsidRPr="003A124A">
              <w:rPr>
                <w:rFonts w:ascii="Times New Roman" w:eastAsia="Calibri" w:hAnsi="Times New Roman" w:cs="Times New Roman"/>
                <w:sz w:val="20"/>
                <w:lang w:eastAsia="en-US"/>
              </w:rPr>
              <w:t>26</w:t>
            </w:r>
          </w:p>
        </w:tc>
        <w:tc>
          <w:tcPr>
            <w:tcW w:w="1984" w:type="dxa"/>
            <w:shd w:val="clear" w:color="auto" w:fill="auto"/>
          </w:tcPr>
          <w:p w:rsidR="00BA3F8A" w:rsidRPr="003A124A" w:rsidRDefault="00BA3F8A" w:rsidP="00BA3F8A">
            <w:pPr>
              <w:spacing w:after="160" w:line="240" w:lineRule="auto"/>
              <w:jc w:val="center"/>
              <w:rPr>
                <w:rFonts w:ascii="Times New Roman" w:eastAsia="Calibri" w:hAnsi="Times New Roman" w:cs="Times New Roman"/>
                <w:sz w:val="20"/>
                <w:lang w:eastAsia="en-US"/>
              </w:rPr>
            </w:pPr>
            <w:r w:rsidRPr="003A124A">
              <w:rPr>
                <w:rFonts w:ascii="Times New Roman" w:eastAsia="Calibri" w:hAnsi="Times New Roman" w:cs="Times New Roman"/>
                <w:sz w:val="20"/>
                <w:lang w:eastAsia="en-US"/>
              </w:rPr>
              <w:t>19</w:t>
            </w:r>
          </w:p>
        </w:tc>
      </w:tr>
      <w:tr w:rsidR="00BA3F8A" w:rsidRPr="003A124A" w:rsidTr="003A124A">
        <w:trPr>
          <w:trHeight w:val="498"/>
        </w:trPr>
        <w:tc>
          <w:tcPr>
            <w:tcW w:w="3626" w:type="dxa"/>
            <w:shd w:val="clear" w:color="auto" w:fill="auto"/>
          </w:tcPr>
          <w:p w:rsidR="00BA3F8A" w:rsidRPr="003A124A" w:rsidRDefault="00BA3F8A" w:rsidP="00BA3F8A">
            <w:pPr>
              <w:spacing w:after="160" w:line="240" w:lineRule="auto"/>
              <w:rPr>
                <w:rFonts w:ascii="Times New Roman" w:eastAsia="Calibri" w:hAnsi="Times New Roman" w:cs="Times New Roman"/>
                <w:sz w:val="20"/>
                <w:lang w:eastAsia="en-US"/>
              </w:rPr>
            </w:pPr>
            <w:r w:rsidRPr="003A124A">
              <w:rPr>
                <w:rFonts w:ascii="Times New Roman" w:eastAsia="Calibri" w:hAnsi="Times New Roman" w:cs="Times New Roman"/>
                <w:sz w:val="20"/>
                <w:lang w:eastAsia="en-US"/>
              </w:rPr>
              <w:t>Количество выданных предписаний</w:t>
            </w:r>
            <w:r w:rsidRPr="003A124A">
              <w:rPr>
                <w:rFonts w:ascii="Times New Roman" w:eastAsia="Calibri" w:hAnsi="Times New Roman" w:cs="Times New Roman"/>
                <w:sz w:val="20"/>
                <w:lang w:eastAsia="en-US"/>
              </w:rPr>
              <w:br/>
              <w:t>(из них исполнено)</w:t>
            </w:r>
          </w:p>
        </w:tc>
        <w:tc>
          <w:tcPr>
            <w:tcW w:w="2011" w:type="dxa"/>
            <w:shd w:val="clear" w:color="auto" w:fill="auto"/>
          </w:tcPr>
          <w:p w:rsidR="00BA3F8A" w:rsidRPr="003A124A" w:rsidRDefault="00FA06EE" w:rsidP="001F0BC2">
            <w:pPr>
              <w:spacing w:after="160" w:line="240" w:lineRule="auto"/>
              <w:jc w:val="center"/>
              <w:rPr>
                <w:rFonts w:ascii="Times New Roman" w:eastAsia="Calibri" w:hAnsi="Times New Roman" w:cs="Times New Roman"/>
                <w:sz w:val="20"/>
                <w:lang w:eastAsia="en-US"/>
              </w:rPr>
            </w:pPr>
            <w:r w:rsidRPr="003A124A">
              <w:rPr>
                <w:rFonts w:ascii="Times New Roman" w:eastAsia="Calibri" w:hAnsi="Times New Roman" w:cs="Times New Roman"/>
                <w:sz w:val="20"/>
                <w:lang w:eastAsia="en-US"/>
              </w:rPr>
              <w:t>39 (</w:t>
            </w:r>
            <w:r w:rsidR="001F0BC2" w:rsidRPr="003A124A">
              <w:rPr>
                <w:rFonts w:ascii="Times New Roman" w:eastAsia="Calibri" w:hAnsi="Times New Roman" w:cs="Times New Roman"/>
                <w:sz w:val="20"/>
                <w:lang w:eastAsia="en-US"/>
              </w:rPr>
              <w:t>39)</w:t>
            </w:r>
          </w:p>
        </w:tc>
        <w:tc>
          <w:tcPr>
            <w:tcW w:w="1984" w:type="dxa"/>
            <w:shd w:val="clear" w:color="auto" w:fill="auto"/>
          </w:tcPr>
          <w:p w:rsidR="00BA3F8A" w:rsidRPr="003A124A" w:rsidRDefault="00BA3F8A" w:rsidP="00BA3F8A">
            <w:pPr>
              <w:spacing w:after="160" w:line="240" w:lineRule="auto"/>
              <w:jc w:val="center"/>
              <w:rPr>
                <w:rFonts w:ascii="Times New Roman" w:eastAsia="Calibri" w:hAnsi="Times New Roman" w:cs="Times New Roman"/>
                <w:sz w:val="20"/>
                <w:lang w:eastAsia="en-US"/>
              </w:rPr>
            </w:pPr>
            <w:r w:rsidRPr="003A124A">
              <w:rPr>
                <w:rFonts w:ascii="Times New Roman" w:eastAsia="Calibri" w:hAnsi="Times New Roman" w:cs="Times New Roman"/>
                <w:sz w:val="20"/>
                <w:lang w:eastAsia="en-US"/>
              </w:rPr>
              <w:t>43 (43)</w:t>
            </w:r>
          </w:p>
        </w:tc>
      </w:tr>
      <w:tr w:rsidR="00BA3F8A" w:rsidRPr="003A124A" w:rsidTr="003A124A">
        <w:trPr>
          <w:trHeight w:val="46"/>
        </w:trPr>
        <w:tc>
          <w:tcPr>
            <w:tcW w:w="3626" w:type="dxa"/>
            <w:shd w:val="clear" w:color="auto" w:fill="auto"/>
          </w:tcPr>
          <w:p w:rsidR="00BA3F8A" w:rsidRPr="003A124A" w:rsidRDefault="00BA3F8A" w:rsidP="00BA3F8A">
            <w:pPr>
              <w:spacing w:after="160" w:line="240" w:lineRule="auto"/>
              <w:rPr>
                <w:rFonts w:ascii="Times New Roman" w:eastAsia="Calibri" w:hAnsi="Times New Roman" w:cs="Times New Roman"/>
                <w:sz w:val="20"/>
                <w:lang w:eastAsia="en-US"/>
              </w:rPr>
            </w:pPr>
            <w:r w:rsidRPr="003A124A">
              <w:rPr>
                <w:rFonts w:ascii="Times New Roman" w:eastAsia="Calibri" w:hAnsi="Times New Roman" w:cs="Times New Roman"/>
                <w:sz w:val="20"/>
                <w:lang w:eastAsia="en-US"/>
              </w:rPr>
              <w:t>Реестр недобросовестных поставщиков</w:t>
            </w:r>
          </w:p>
        </w:tc>
        <w:tc>
          <w:tcPr>
            <w:tcW w:w="2011" w:type="dxa"/>
            <w:shd w:val="clear" w:color="auto" w:fill="auto"/>
          </w:tcPr>
          <w:p w:rsidR="00BA3F8A" w:rsidRPr="003A124A" w:rsidRDefault="00FA06EE" w:rsidP="00BA3F8A">
            <w:pPr>
              <w:spacing w:after="160" w:line="240" w:lineRule="auto"/>
              <w:jc w:val="center"/>
              <w:rPr>
                <w:rFonts w:ascii="Times New Roman" w:eastAsia="Calibri" w:hAnsi="Times New Roman" w:cs="Times New Roman"/>
                <w:sz w:val="20"/>
                <w:lang w:eastAsia="en-US"/>
              </w:rPr>
            </w:pPr>
            <w:r w:rsidRPr="003A124A">
              <w:rPr>
                <w:rFonts w:ascii="Times New Roman" w:eastAsia="Calibri" w:hAnsi="Times New Roman" w:cs="Times New Roman"/>
                <w:sz w:val="20"/>
                <w:lang w:eastAsia="en-US"/>
              </w:rPr>
              <w:t>25</w:t>
            </w:r>
          </w:p>
        </w:tc>
        <w:tc>
          <w:tcPr>
            <w:tcW w:w="1984" w:type="dxa"/>
            <w:shd w:val="clear" w:color="auto" w:fill="auto"/>
          </w:tcPr>
          <w:p w:rsidR="00BA3F8A" w:rsidRPr="003A124A" w:rsidRDefault="00BA3F8A" w:rsidP="00BA3F8A">
            <w:pPr>
              <w:spacing w:after="160" w:line="240" w:lineRule="auto"/>
              <w:jc w:val="center"/>
              <w:rPr>
                <w:rFonts w:ascii="Times New Roman" w:eastAsia="Calibri" w:hAnsi="Times New Roman" w:cs="Times New Roman"/>
                <w:sz w:val="20"/>
                <w:lang w:eastAsia="en-US"/>
              </w:rPr>
            </w:pPr>
            <w:r w:rsidRPr="003A124A">
              <w:rPr>
                <w:rFonts w:ascii="Times New Roman" w:eastAsia="Calibri" w:hAnsi="Times New Roman" w:cs="Times New Roman"/>
                <w:sz w:val="20"/>
                <w:lang w:eastAsia="en-US"/>
              </w:rPr>
              <w:t>25</w:t>
            </w:r>
          </w:p>
        </w:tc>
      </w:tr>
    </w:tbl>
    <w:p w:rsidR="00ED1877" w:rsidRPr="003A124A" w:rsidRDefault="00ED1877">
      <w:pPr>
        <w:rPr>
          <w:rFonts w:ascii="Times New Roman" w:hAnsi="Times New Roman" w:cs="Times New Roman"/>
          <w:sz w:val="20"/>
        </w:rPr>
      </w:pPr>
    </w:p>
    <w:p w:rsidR="00ED1877" w:rsidRPr="003A124A" w:rsidRDefault="00ED1877">
      <w:pPr>
        <w:rPr>
          <w:rFonts w:ascii="Times New Roman" w:hAnsi="Times New Roman" w:cs="Times New Roman"/>
          <w:sz w:val="20"/>
        </w:rPr>
      </w:pPr>
    </w:p>
    <w:p w:rsidR="00ED1877" w:rsidRPr="003A124A" w:rsidRDefault="00ED1877">
      <w:pPr>
        <w:rPr>
          <w:rFonts w:ascii="Times New Roman" w:hAnsi="Times New Roman" w:cs="Times New Roman"/>
          <w:sz w:val="20"/>
        </w:rPr>
      </w:pPr>
    </w:p>
    <w:p w:rsidR="00ED1877" w:rsidRPr="003A124A" w:rsidRDefault="00ED1877">
      <w:pPr>
        <w:rPr>
          <w:rFonts w:ascii="Times New Roman" w:hAnsi="Times New Roman" w:cs="Times New Roman"/>
          <w:sz w:val="20"/>
        </w:rPr>
      </w:pPr>
    </w:p>
    <w:p w:rsidR="00ED1877" w:rsidRPr="003A124A" w:rsidRDefault="00ED1877">
      <w:pPr>
        <w:rPr>
          <w:rFonts w:ascii="Times New Roman" w:hAnsi="Times New Roman" w:cs="Times New Roman"/>
          <w:sz w:val="20"/>
        </w:rPr>
      </w:pPr>
    </w:p>
    <w:p w:rsidR="003A124A" w:rsidRPr="003A124A" w:rsidRDefault="003A124A">
      <w:pPr>
        <w:rPr>
          <w:rFonts w:ascii="Times New Roman" w:hAnsi="Times New Roman" w:cs="Times New Roman"/>
          <w:sz w:val="20"/>
        </w:rPr>
      </w:pPr>
    </w:p>
    <w:p w:rsidR="003A124A" w:rsidRPr="003A124A" w:rsidRDefault="003A124A">
      <w:pPr>
        <w:rPr>
          <w:rFonts w:ascii="Times New Roman" w:hAnsi="Times New Roman" w:cs="Times New Roman"/>
          <w:sz w:val="20"/>
        </w:rPr>
      </w:pPr>
    </w:p>
    <w:tbl>
      <w:tblPr>
        <w:tblStyle w:val="a3"/>
        <w:tblpPr w:leftFromText="180" w:rightFromText="180" w:vertAnchor="text" w:horzAnchor="margin" w:tblpY="-17"/>
        <w:tblW w:w="7763" w:type="dxa"/>
        <w:tblLayout w:type="fixed"/>
        <w:tblLook w:val="04A0" w:firstRow="1" w:lastRow="0" w:firstColumn="1" w:lastColumn="0" w:noHBand="0" w:noVBand="1"/>
      </w:tblPr>
      <w:tblGrid>
        <w:gridCol w:w="2093"/>
        <w:gridCol w:w="1701"/>
        <w:gridCol w:w="1984"/>
        <w:gridCol w:w="1985"/>
      </w:tblGrid>
      <w:tr w:rsidR="003A124A" w:rsidRPr="003A124A" w:rsidTr="003A124A">
        <w:trPr>
          <w:trHeight w:val="605"/>
        </w:trPr>
        <w:tc>
          <w:tcPr>
            <w:tcW w:w="2093" w:type="dxa"/>
          </w:tcPr>
          <w:p w:rsidR="003A124A" w:rsidRPr="003A124A" w:rsidRDefault="003A124A" w:rsidP="003A124A">
            <w:pPr>
              <w:jc w:val="both"/>
              <w:rPr>
                <w:rFonts w:ascii="Times New Roman" w:eastAsia="Times New Roman" w:hAnsi="Times New Roman" w:cs="Times New Roman"/>
                <w:sz w:val="20"/>
              </w:rPr>
            </w:pPr>
          </w:p>
        </w:tc>
        <w:tc>
          <w:tcPr>
            <w:tcW w:w="1701" w:type="dxa"/>
          </w:tcPr>
          <w:p w:rsidR="003A124A" w:rsidRPr="003A124A" w:rsidRDefault="003A124A" w:rsidP="003A124A">
            <w:pPr>
              <w:jc w:val="both"/>
              <w:rPr>
                <w:rFonts w:ascii="Times New Roman" w:eastAsia="Times New Roman" w:hAnsi="Times New Roman" w:cs="Times New Roman"/>
                <w:sz w:val="20"/>
              </w:rPr>
            </w:pPr>
            <w:r w:rsidRPr="003A124A">
              <w:rPr>
                <w:rFonts w:ascii="Times New Roman" w:eastAsia="Times New Roman" w:hAnsi="Times New Roman" w:cs="Times New Roman"/>
                <w:sz w:val="20"/>
              </w:rPr>
              <w:t xml:space="preserve">На  заказчиков федерального уровня </w:t>
            </w:r>
          </w:p>
        </w:tc>
        <w:tc>
          <w:tcPr>
            <w:tcW w:w="1984" w:type="dxa"/>
          </w:tcPr>
          <w:p w:rsidR="003A124A" w:rsidRPr="003A124A" w:rsidRDefault="003A124A" w:rsidP="003A124A">
            <w:pPr>
              <w:jc w:val="both"/>
              <w:rPr>
                <w:rFonts w:ascii="Times New Roman" w:eastAsia="Times New Roman" w:hAnsi="Times New Roman" w:cs="Times New Roman"/>
                <w:sz w:val="20"/>
              </w:rPr>
            </w:pPr>
            <w:r w:rsidRPr="003A124A">
              <w:rPr>
                <w:rFonts w:ascii="Times New Roman" w:eastAsia="Times New Roman" w:hAnsi="Times New Roman" w:cs="Times New Roman"/>
                <w:sz w:val="20"/>
              </w:rPr>
              <w:t>На заказчиков регионального уровня</w:t>
            </w:r>
          </w:p>
        </w:tc>
        <w:tc>
          <w:tcPr>
            <w:tcW w:w="1985" w:type="dxa"/>
          </w:tcPr>
          <w:p w:rsidR="003A124A" w:rsidRPr="003A124A" w:rsidRDefault="003A124A" w:rsidP="003A124A">
            <w:pPr>
              <w:rPr>
                <w:rFonts w:ascii="Times New Roman" w:eastAsia="Times New Roman" w:hAnsi="Times New Roman" w:cs="Times New Roman"/>
                <w:sz w:val="20"/>
              </w:rPr>
            </w:pPr>
            <w:r w:rsidRPr="003A124A">
              <w:rPr>
                <w:rFonts w:ascii="Times New Roman" w:eastAsia="Times New Roman" w:hAnsi="Times New Roman" w:cs="Times New Roman"/>
                <w:sz w:val="20"/>
              </w:rPr>
              <w:t>На заказчиков муниципального</w:t>
            </w:r>
          </w:p>
          <w:p w:rsidR="003A124A" w:rsidRPr="003A124A" w:rsidRDefault="003A124A" w:rsidP="003A124A">
            <w:pPr>
              <w:rPr>
                <w:rFonts w:ascii="Times New Roman" w:eastAsia="Times New Roman" w:hAnsi="Times New Roman" w:cs="Times New Roman"/>
                <w:sz w:val="20"/>
              </w:rPr>
            </w:pPr>
            <w:r w:rsidRPr="003A124A">
              <w:rPr>
                <w:rFonts w:ascii="Times New Roman" w:eastAsia="Times New Roman" w:hAnsi="Times New Roman" w:cs="Times New Roman"/>
                <w:sz w:val="20"/>
              </w:rPr>
              <w:t>уровня</w:t>
            </w:r>
          </w:p>
        </w:tc>
      </w:tr>
      <w:tr w:rsidR="003A124A" w:rsidRPr="003A124A" w:rsidTr="003A124A">
        <w:trPr>
          <w:trHeight w:val="311"/>
        </w:trPr>
        <w:tc>
          <w:tcPr>
            <w:tcW w:w="2093" w:type="dxa"/>
          </w:tcPr>
          <w:p w:rsidR="003A124A" w:rsidRPr="003A124A" w:rsidRDefault="003A124A" w:rsidP="003A124A">
            <w:pPr>
              <w:jc w:val="both"/>
              <w:rPr>
                <w:rFonts w:ascii="Times New Roman" w:eastAsia="Times New Roman" w:hAnsi="Times New Roman" w:cs="Times New Roman"/>
                <w:sz w:val="20"/>
              </w:rPr>
            </w:pPr>
            <w:r w:rsidRPr="003A124A">
              <w:rPr>
                <w:rFonts w:ascii="Times New Roman" w:eastAsia="Times New Roman" w:hAnsi="Times New Roman" w:cs="Times New Roman"/>
                <w:sz w:val="20"/>
              </w:rPr>
              <w:t>Всего жалоб:</w:t>
            </w:r>
          </w:p>
        </w:tc>
        <w:tc>
          <w:tcPr>
            <w:tcW w:w="1701" w:type="dxa"/>
          </w:tcPr>
          <w:p w:rsidR="003A124A" w:rsidRPr="003A124A" w:rsidRDefault="003A124A" w:rsidP="003A124A">
            <w:pPr>
              <w:jc w:val="center"/>
              <w:rPr>
                <w:rFonts w:ascii="Times New Roman" w:eastAsia="Times New Roman" w:hAnsi="Times New Roman" w:cs="Times New Roman"/>
                <w:sz w:val="20"/>
              </w:rPr>
            </w:pPr>
            <w:r w:rsidRPr="003A124A">
              <w:rPr>
                <w:rFonts w:ascii="Times New Roman" w:eastAsia="Times New Roman" w:hAnsi="Times New Roman" w:cs="Times New Roman"/>
                <w:sz w:val="20"/>
              </w:rPr>
              <w:t>14</w:t>
            </w:r>
          </w:p>
        </w:tc>
        <w:tc>
          <w:tcPr>
            <w:tcW w:w="1984" w:type="dxa"/>
          </w:tcPr>
          <w:p w:rsidR="003A124A" w:rsidRPr="003A124A" w:rsidRDefault="003A124A" w:rsidP="003A124A">
            <w:pPr>
              <w:jc w:val="center"/>
              <w:rPr>
                <w:rFonts w:ascii="Times New Roman" w:eastAsia="Times New Roman" w:hAnsi="Times New Roman" w:cs="Times New Roman"/>
                <w:sz w:val="20"/>
              </w:rPr>
            </w:pPr>
            <w:r w:rsidRPr="003A124A">
              <w:rPr>
                <w:rFonts w:ascii="Times New Roman" w:eastAsia="Times New Roman" w:hAnsi="Times New Roman" w:cs="Times New Roman"/>
                <w:sz w:val="20"/>
              </w:rPr>
              <w:t>54</w:t>
            </w:r>
          </w:p>
        </w:tc>
        <w:tc>
          <w:tcPr>
            <w:tcW w:w="1985" w:type="dxa"/>
          </w:tcPr>
          <w:p w:rsidR="003A124A" w:rsidRPr="003A124A" w:rsidRDefault="003A124A" w:rsidP="003A124A">
            <w:pPr>
              <w:jc w:val="center"/>
              <w:rPr>
                <w:rFonts w:ascii="Times New Roman" w:eastAsia="Times New Roman" w:hAnsi="Times New Roman" w:cs="Times New Roman"/>
                <w:sz w:val="20"/>
              </w:rPr>
            </w:pPr>
            <w:r w:rsidRPr="003A124A">
              <w:rPr>
                <w:rFonts w:ascii="Times New Roman" w:eastAsia="Times New Roman" w:hAnsi="Times New Roman" w:cs="Times New Roman"/>
                <w:sz w:val="20"/>
              </w:rPr>
              <w:t>118</w:t>
            </w:r>
          </w:p>
        </w:tc>
      </w:tr>
      <w:tr w:rsidR="003A124A" w:rsidRPr="003A124A" w:rsidTr="003A124A">
        <w:trPr>
          <w:trHeight w:val="605"/>
        </w:trPr>
        <w:tc>
          <w:tcPr>
            <w:tcW w:w="2093" w:type="dxa"/>
          </w:tcPr>
          <w:p w:rsidR="003A124A" w:rsidRPr="003A124A" w:rsidRDefault="003A124A" w:rsidP="003A124A">
            <w:pPr>
              <w:jc w:val="both"/>
              <w:rPr>
                <w:rFonts w:ascii="Times New Roman" w:eastAsia="Times New Roman" w:hAnsi="Times New Roman" w:cs="Times New Roman"/>
                <w:sz w:val="20"/>
              </w:rPr>
            </w:pPr>
            <w:r w:rsidRPr="003A124A">
              <w:rPr>
                <w:rFonts w:ascii="Times New Roman" w:eastAsia="Times New Roman" w:hAnsi="Times New Roman" w:cs="Times New Roman"/>
                <w:sz w:val="20"/>
              </w:rPr>
              <w:t>Кол-во обоснованных (%)</w:t>
            </w:r>
          </w:p>
        </w:tc>
        <w:tc>
          <w:tcPr>
            <w:tcW w:w="1701" w:type="dxa"/>
          </w:tcPr>
          <w:p w:rsidR="003A124A" w:rsidRPr="003A124A" w:rsidRDefault="003A124A" w:rsidP="003A124A">
            <w:pPr>
              <w:jc w:val="center"/>
              <w:rPr>
                <w:rFonts w:ascii="Times New Roman" w:eastAsia="Times New Roman" w:hAnsi="Times New Roman" w:cs="Times New Roman"/>
                <w:sz w:val="20"/>
              </w:rPr>
            </w:pPr>
            <w:r w:rsidRPr="003A124A">
              <w:rPr>
                <w:rFonts w:ascii="Times New Roman" w:eastAsia="Times New Roman" w:hAnsi="Times New Roman" w:cs="Times New Roman"/>
                <w:sz w:val="20"/>
              </w:rPr>
              <w:t>1(7%)</w:t>
            </w:r>
          </w:p>
        </w:tc>
        <w:tc>
          <w:tcPr>
            <w:tcW w:w="1984" w:type="dxa"/>
          </w:tcPr>
          <w:p w:rsidR="003A124A" w:rsidRPr="003A124A" w:rsidRDefault="003A124A" w:rsidP="003A124A">
            <w:pPr>
              <w:jc w:val="center"/>
              <w:rPr>
                <w:rFonts w:ascii="Times New Roman" w:eastAsia="Times New Roman" w:hAnsi="Times New Roman" w:cs="Times New Roman"/>
                <w:sz w:val="20"/>
              </w:rPr>
            </w:pPr>
            <w:r w:rsidRPr="003A124A">
              <w:rPr>
                <w:rFonts w:ascii="Times New Roman" w:eastAsia="Times New Roman" w:hAnsi="Times New Roman" w:cs="Times New Roman"/>
                <w:sz w:val="20"/>
              </w:rPr>
              <w:t>19(35%)</w:t>
            </w:r>
          </w:p>
        </w:tc>
        <w:tc>
          <w:tcPr>
            <w:tcW w:w="1985" w:type="dxa"/>
          </w:tcPr>
          <w:p w:rsidR="003A124A" w:rsidRPr="003A124A" w:rsidRDefault="003A124A" w:rsidP="003A124A">
            <w:pPr>
              <w:jc w:val="center"/>
              <w:rPr>
                <w:rFonts w:ascii="Times New Roman" w:eastAsia="Times New Roman" w:hAnsi="Times New Roman" w:cs="Times New Roman"/>
                <w:sz w:val="20"/>
              </w:rPr>
            </w:pPr>
            <w:r w:rsidRPr="003A124A">
              <w:rPr>
                <w:rFonts w:ascii="Times New Roman" w:eastAsia="Times New Roman" w:hAnsi="Times New Roman" w:cs="Times New Roman"/>
                <w:sz w:val="20"/>
              </w:rPr>
              <w:t>37(31%)</w:t>
            </w:r>
          </w:p>
        </w:tc>
      </w:tr>
      <w:tr w:rsidR="003A124A" w:rsidRPr="003A124A" w:rsidTr="003A124A">
        <w:trPr>
          <w:trHeight w:val="621"/>
        </w:trPr>
        <w:tc>
          <w:tcPr>
            <w:tcW w:w="2093" w:type="dxa"/>
          </w:tcPr>
          <w:p w:rsidR="003A124A" w:rsidRPr="003A124A" w:rsidRDefault="003A124A" w:rsidP="003A124A">
            <w:pPr>
              <w:jc w:val="both"/>
              <w:rPr>
                <w:rFonts w:ascii="Times New Roman" w:eastAsia="Times New Roman" w:hAnsi="Times New Roman" w:cs="Times New Roman"/>
                <w:sz w:val="20"/>
              </w:rPr>
            </w:pPr>
            <w:r w:rsidRPr="003A124A">
              <w:rPr>
                <w:rFonts w:ascii="Times New Roman" w:eastAsia="Times New Roman" w:hAnsi="Times New Roman" w:cs="Times New Roman"/>
                <w:sz w:val="20"/>
              </w:rPr>
              <w:t>Кол-во необоснованных (%)</w:t>
            </w:r>
          </w:p>
        </w:tc>
        <w:tc>
          <w:tcPr>
            <w:tcW w:w="1701" w:type="dxa"/>
          </w:tcPr>
          <w:p w:rsidR="003A124A" w:rsidRPr="003A124A" w:rsidRDefault="003A124A" w:rsidP="003A124A">
            <w:pPr>
              <w:jc w:val="center"/>
              <w:rPr>
                <w:rFonts w:ascii="Times New Roman" w:eastAsia="Times New Roman" w:hAnsi="Times New Roman" w:cs="Times New Roman"/>
                <w:sz w:val="20"/>
              </w:rPr>
            </w:pPr>
            <w:r w:rsidRPr="003A124A">
              <w:rPr>
                <w:rFonts w:ascii="Times New Roman" w:eastAsia="Times New Roman" w:hAnsi="Times New Roman" w:cs="Times New Roman"/>
                <w:sz w:val="20"/>
              </w:rPr>
              <w:t>8(93%)</w:t>
            </w:r>
          </w:p>
        </w:tc>
        <w:tc>
          <w:tcPr>
            <w:tcW w:w="1984" w:type="dxa"/>
          </w:tcPr>
          <w:p w:rsidR="003A124A" w:rsidRPr="003A124A" w:rsidRDefault="003A124A" w:rsidP="003A124A">
            <w:pPr>
              <w:jc w:val="center"/>
              <w:rPr>
                <w:rFonts w:ascii="Times New Roman" w:eastAsia="Times New Roman" w:hAnsi="Times New Roman" w:cs="Times New Roman"/>
                <w:sz w:val="20"/>
              </w:rPr>
            </w:pPr>
            <w:r w:rsidRPr="003A124A">
              <w:rPr>
                <w:rFonts w:ascii="Times New Roman" w:eastAsia="Times New Roman" w:hAnsi="Times New Roman" w:cs="Times New Roman"/>
                <w:sz w:val="20"/>
              </w:rPr>
              <w:t>23(65%)</w:t>
            </w:r>
          </w:p>
        </w:tc>
        <w:tc>
          <w:tcPr>
            <w:tcW w:w="1985" w:type="dxa"/>
          </w:tcPr>
          <w:p w:rsidR="003A124A" w:rsidRPr="003A124A" w:rsidRDefault="003A124A" w:rsidP="003A124A">
            <w:pPr>
              <w:jc w:val="center"/>
              <w:rPr>
                <w:rFonts w:ascii="Times New Roman" w:eastAsia="Times New Roman" w:hAnsi="Times New Roman" w:cs="Times New Roman"/>
                <w:sz w:val="20"/>
              </w:rPr>
            </w:pPr>
            <w:r w:rsidRPr="003A124A">
              <w:rPr>
                <w:rFonts w:ascii="Times New Roman" w:eastAsia="Times New Roman" w:hAnsi="Times New Roman" w:cs="Times New Roman"/>
                <w:sz w:val="20"/>
              </w:rPr>
              <w:t>55(69%)</w:t>
            </w:r>
          </w:p>
        </w:tc>
      </w:tr>
    </w:tbl>
    <w:p w:rsidR="003A124A" w:rsidRPr="003A124A" w:rsidRDefault="003A124A">
      <w:pPr>
        <w:rPr>
          <w:rFonts w:ascii="Times New Roman" w:hAnsi="Times New Roman" w:cs="Times New Roman"/>
          <w:sz w:val="20"/>
        </w:rPr>
      </w:pPr>
    </w:p>
    <w:p w:rsidR="003A124A" w:rsidRPr="003A124A" w:rsidRDefault="003A124A">
      <w:pPr>
        <w:rPr>
          <w:rFonts w:ascii="Times New Roman" w:hAnsi="Times New Roman" w:cs="Times New Roman"/>
          <w:sz w:val="20"/>
        </w:rPr>
      </w:pPr>
    </w:p>
    <w:p w:rsidR="00ED1877" w:rsidRPr="003A124A" w:rsidRDefault="00ED1877">
      <w:pPr>
        <w:rPr>
          <w:rFonts w:ascii="Times New Roman" w:hAnsi="Times New Roman" w:cs="Times New Roman"/>
        </w:rPr>
      </w:pPr>
    </w:p>
    <w:p w:rsidR="00750D28" w:rsidRPr="003A124A" w:rsidRDefault="00750D28">
      <w:pPr>
        <w:rPr>
          <w:rFonts w:ascii="Times New Roman" w:hAnsi="Times New Roman" w:cs="Times New Roman"/>
        </w:rPr>
      </w:pPr>
    </w:p>
    <w:p w:rsidR="00ED1877" w:rsidRPr="003A124A" w:rsidRDefault="00ED1877">
      <w:pPr>
        <w:rPr>
          <w:rFonts w:ascii="Times New Roman" w:hAnsi="Times New Roman" w:cs="Times New Roman"/>
        </w:rPr>
      </w:pPr>
    </w:p>
    <w:p w:rsidR="00ED1877" w:rsidRPr="003A124A" w:rsidRDefault="00ED1877">
      <w:pPr>
        <w:rPr>
          <w:rFonts w:ascii="Times New Roman" w:hAnsi="Times New Roman" w:cs="Times New Roman"/>
        </w:rPr>
      </w:pPr>
    </w:p>
    <w:p w:rsidR="004979B8" w:rsidRPr="003A124A" w:rsidRDefault="004979B8" w:rsidP="003A124A">
      <w:pPr>
        <w:jc w:val="center"/>
        <w:rPr>
          <w:rFonts w:ascii="Times New Roman" w:hAnsi="Times New Roman" w:cs="Times New Roman"/>
          <w:b/>
          <w:sz w:val="24"/>
        </w:rPr>
      </w:pPr>
      <w:r w:rsidRPr="003A124A">
        <w:rPr>
          <w:rFonts w:ascii="Times New Roman" w:hAnsi="Times New Roman" w:cs="Times New Roman"/>
          <w:b/>
          <w:sz w:val="24"/>
        </w:rPr>
        <w:t>Контроль соблюдения Федерального закона «О торговле»</w:t>
      </w:r>
    </w:p>
    <w:p w:rsidR="004979B8" w:rsidRPr="003A124A" w:rsidRDefault="00513056" w:rsidP="0046107A">
      <w:pPr>
        <w:spacing w:after="0" w:line="240" w:lineRule="auto"/>
        <w:ind w:firstLine="708"/>
        <w:jc w:val="both"/>
        <w:rPr>
          <w:rFonts w:ascii="Times New Roman" w:hAnsi="Times New Roman" w:cs="Times New Roman"/>
          <w:sz w:val="24"/>
        </w:rPr>
      </w:pPr>
      <w:r w:rsidRPr="003A124A">
        <w:rPr>
          <w:rFonts w:ascii="Times New Roman" w:hAnsi="Times New Roman" w:cs="Times New Roman"/>
          <w:sz w:val="24"/>
        </w:rPr>
        <w:t xml:space="preserve">Проведено 25 проверок. </w:t>
      </w:r>
      <w:r w:rsidR="004979B8" w:rsidRPr="003A124A">
        <w:rPr>
          <w:rFonts w:ascii="Times New Roman" w:hAnsi="Times New Roman" w:cs="Times New Roman"/>
          <w:sz w:val="24"/>
        </w:rPr>
        <w:t>Проанализировано 379 договоров поставки.</w:t>
      </w:r>
    </w:p>
    <w:p w:rsidR="0046107A" w:rsidRPr="003A124A" w:rsidRDefault="00E8217D" w:rsidP="0046107A">
      <w:pPr>
        <w:spacing w:after="0" w:line="240" w:lineRule="auto"/>
        <w:ind w:firstLine="708"/>
        <w:jc w:val="both"/>
        <w:rPr>
          <w:rFonts w:ascii="Times New Roman" w:hAnsi="Times New Roman" w:cs="Times New Roman"/>
          <w:sz w:val="24"/>
        </w:rPr>
      </w:pPr>
      <w:r w:rsidRPr="009702BD">
        <w:rPr>
          <w:rFonts w:ascii="Times New Roman" w:hAnsi="Times New Roman" w:cs="Times New Roman"/>
          <w:sz w:val="24"/>
        </w:rPr>
        <w:t xml:space="preserve">Возбуждено </w:t>
      </w:r>
      <w:r w:rsidR="00873D99" w:rsidRPr="009702BD">
        <w:rPr>
          <w:rFonts w:ascii="Times New Roman" w:hAnsi="Times New Roman" w:cs="Times New Roman"/>
          <w:sz w:val="24"/>
        </w:rPr>
        <w:t>5 дел</w:t>
      </w:r>
      <w:r w:rsidRPr="009702BD">
        <w:rPr>
          <w:rFonts w:ascii="Times New Roman" w:hAnsi="Times New Roman" w:cs="Times New Roman"/>
          <w:sz w:val="24"/>
        </w:rPr>
        <w:t xml:space="preserve">, вынесено </w:t>
      </w:r>
      <w:r w:rsidR="00873D99" w:rsidRPr="009702BD">
        <w:rPr>
          <w:rFonts w:ascii="Times New Roman" w:hAnsi="Times New Roman" w:cs="Times New Roman"/>
          <w:sz w:val="24"/>
        </w:rPr>
        <w:t>5</w:t>
      </w:r>
      <w:r w:rsidRPr="009702BD">
        <w:rPr>
          <w:rFonts w:ascii="Times New Roman" w:hAnsi="Times New Roman" w:cs="Times New Roman"/>
          <w:sz w:val="24"/>
        </w:rPr>
        <w:t xml:space="preserve"> постановлени</w:t>
      </w:r>
      <w:r w:rsidR="00873D99" w:rsidRPr="009702BD">
        <w:rPr>
          <w:rFonts w:ascii="Times New Roman" w:hAnsi="Times New Roman" w:cs="Times New Roman"/>
          <w:sz w:val="24"/>
        </w:rPr>
        <w:t>й</w:t>
      </w:r>
      <w:r w:rsidRPr="009702BD">
        <w:rPr>
          <w:rFonts w:ascii="Times New Roman" w:hAnsi="Times New Roman" w:cs="Times New Roman"/>
          <w:sz w:val="24"/>
        </w:rPr>
        <w:t>.</w:t>
      </w:r>
    </w:p>
    <w:p w:rsidR="00E8217D" w:rsidRPr="003A124A" w:rsidRDefault="00E8217D" w:rsidP="0046107A">
      <w:pPr>
        <w:spacing w:after="0" w:line="240" w:lineRule="auto"/>
        <w:ind w:firstLine="708"/>
        <w:jc w:val="both"/>
        <w:rPr>
          <w:rFonts w:ascii="Times New Roman" w:hAnsi="Times New Roman" w:cs="Times New Roman"/>
          <w:sz w:val="24"/>
        </w:rPr>
      </w:pPr>
      <w:r w:rsidRPr="003A124A">
        <w:rPr>
          <w:rFonts w:ascii="Times New Roman" w:hAnsi="Times New Roman" w:cs="Times New Roman"/>
          <w:sz w:val="24"/>
        </w:rPr>
        <w:lastRenderedPageBreak/>
        <w:t>В</w:t>
      </w:r>
      <w:r w:rsidR="004979B8" w:rsidRPr="003A124A">
        <w:rPr>
          <w:rFonts w:ascii="Times New Roman" w:hAnsi="Times New Roman" w:cs="Times New Roman"/>
          <w:sz w:val="24"/>
        </w:rPr>
        <w:t>ыявлены нарушения ст. 9 Закона о торговле (ООО «Фрукты есть» - ч. 7 ст. 9 Закона о торговле, нарушены сроки оплаты товара по договору поставки в отношении ИП; ООО «Каравай» - ч. 7 ст. 9 Закона о торговле, нарушены сроки оплаты товара по договору поставки в отношении ООО "</w:t>
      </w:r>
      <w:proofErr w:type="spellStart"/>
      <w:r w:rsidR="004979B8" w:rsidRPr="003A124A">
        <w:rPr>
          <w:rFonts w:ascii="Times New Roman" w:hAnsi="Times New Roman" w:cs="Times New Roman"/>
          <w:sz w:val="24"/>
        </w:rPr>
        <w:t>ПродуктСервис</w:t>
      </w:r>
      <w:proofErr w:type="spellEnd"/>
      <w:r w:rsidR="004979B8" w:rsidRPr="003A124A">
        <w:rPr>
          <w:rFonts w:ascii="Times New Roman" w:hAnsi="Times New Roman" w:cs="Times New Roman"/>
          <w:sz w:val="24"/>
        </w:rPr>
        <w:t>"; ООО «Горячий хлеб» - ч. 7 ст. 9 Закона о торговле, нарушены сроки оплаты товара по договору поставки в отношении ООО "</w:t>
      </w:r>
      <w:proofErr w:type="spellStart"/>
      <w:r w:rsidR="004979B8" w:rsidRPr="003A124A">
        <w:rPr>
          <w:rFonts w:ascii="Times New Roman" w:hAnsi="Times New Roman" w:cs="Times New Roman"/>
          <w:sz w:val="24"/>
        </w:rPr>
        <w:t>ПродуктСервис</w:t>
      </w:r>
      <w:proofErr w:type="spellEnd"/>
      <w:r w:rsidR="004979B8" w:rsidRPr="003A124A">
        <w:rPr>
          <w:rFonts w:ascii="Times New Roman" w:hAnsi="Times New Roman" w:cs="Times New Roman"/>
          <w:sz w:val="24"/>
        </w:rPr>
        <w:t xml:space="preserve">). </w:t>
      </w:r>
    </w:p>
    <w:p w:rsidR="00AF0DCD" w:rsidRPr="003A124A" w:rsidRDefault="00AF0DCD" w:rsidP="00AF0DCD">
      <w:pPr>
        <w:spacing w:after="0" w:line="240" w:lineRule="auto"/>
        <w:ind w:firstLine="708"/>
        <w:jc w:val="both"/>
        <w:rPr>
          <w:rFonts w:ascii="Times New Roman" w:hAnsi="Times New Roman" w:cs="Times New Roman"/>
          <w:sz w:val="24"/>
        </w:rPr>
      </w:pPr>
      <w:r w:rsidRPr="003A124A">
        <w:rPr>
          <w:rFonts w:ascii="Times New Roman" w:hAnsi="Times New Roman" w:cs="Times New Roman"/>
          <w:sz w:val="24"/>
        </w:rPr>
        <w:t>Кроме того, проведен анализ долей хозяйствующих субъектов, осуществляющих розничную торговлю продовольственными товарами посредством организации торговой сети, в ходе которого установлено, что ни у одной из сетей, работающей на территории Липецкой области, объем не превышает двадцать пять процентов всех реализованных продовольственных товаров в денежном выражении за предыдущий финансовый год.</w:t>
      </w:r>
    </w:p>
    <w:p w:rsidR="00AF0DCD" w:rsidRPr="003A124A" w:rsidRDefault="00AF0DCD" w:rsidP="00AF0DCD">
      <w:pPr>
        <w:spacing w:after="0" w:line="240" w:lineRule="auto"/>
        <w:ind w:firstLine="708"/>
        <w:jc w:val="both"/>
        <w:rPr>
          <w:rFonts w:ascii="Times New Roman" w:hAnsi="Times New Roman" w:cs="Times New Roman"/>
          <w:sz w:val="24"/>
        </w:rPr>
      </w:pPr>
      <w:r w:rsidRPr="003A124A">
        <w:rPr>
          <w:rFonts w:ascii="Times New Roman" w:hAnsi="Times New Roman" w:cs="Times New Roman"/>
          <w:sz w:val="24"/>
        </w:rPr>
        <w:t xml:space="preserve">Вместе с тем, установлено, что в ряде муниципальных районов региона доли отдельных хозяйствующих субъектов (их группы лиц) превысили двадцать процентов указанного объема, а именно в </w:t>
      </w:r>
      <w:proofErr w:type="spellStart"/>
      <w:r w:rsidRPr="003A124A">
        <w:rPr>
          <w:rFonts w:ascii="Times New Roman" w:hAnsi="Times New Roman" w:cs="Times New Roman"/>
          <w:sz w:val="24"/>
        </w:rPr>
        <w:t>Долгоруковском</w:t>
      </w:r>
      <w:proofErr w:type="spellEnd"/>
      <w:r w:rsidRPr="003A124A">
        <w:rPr>
          <w:rFonts w:ascii="Times New Roman" w:hAnsi="Times New Roman" w:cs="Times New Roman"/>
          <w:sz w:val="24"/>
        </w:rPr>
        <w:t xml:space="preserve"> муниципальном районе, Липецком муниципальном районе, Лев-Толстовский муниципальном районе, </w:t>
      </w:r>
      <w:proofErr w:type="spellStart"/>
      <w:r w:rsidRPr="003A124A">
        <w:rPr>
          <w:rFonts w:ascii="Times New Roman" w:hAnsi="Times New Roman" w:cs="Times New Roman"/>
          <w:sz w:val="24"/>
        </w:rPr>
        <w:t>Данковском</w:t>
      </w:r>
      <w:proofErr w:type="spellEnd"/>
      <w:r w:rsidRPr="003A124A">
        <w:rPr>
          <w:rFonts w:ascii="Times New Roman" w:hAnsi="Times New Roman" w:cs="Times New Roman"/>
          <w:sz w:val="24"/>
        </w:rPr>
        <w:t xml:space="preserve"> муниципальном районе, </w:t>
      </w:r>
      <w:proofErr w:type="spellStart"/>
      <w:r w:rsidRPr="003A124A">
        <w:rPr>
          <w:rFonts w:ascii="Times New Roman" w:hAnsi="Times New Roman" w:cs="Times New Roman"/>
          <w:sz w:val="24"/>
        </w:rPr>
        <w:t>Хлевенском</w:t>
      </w:r>
      <w:proofErr w:type="spellEnd"/>
      <w:r w:rsidRPr="003A124A">
        <w:rPr>
          <w:rFonts w:ascii="Times New Roman" w:hAnsi="Times New Roman" w:cs="Times New Roman"/>
          <w:sz w:val="24"/>
        </w:rPr>
        <w:t xml:space="preserve"> муниципальном районе и </w:t>
      </w:r>
      <w:proofErr w:type="spellStart"/>
      <w:r w:rsidRPr="003A124A">
        <w:rPr>
          <w:rFonts w:ascii="Times New Roman" w:hAnsi="Times New Roman" w:cs="Times New Roman"/>
          <w:sz w:val="24"/>
        </w:rPr>
        <w:t>Чаплыгинском</w:t>
      </w:r>
      <w:proofErr w:type="spellEnd"/>
      <w:r w:rsidRPr="003A124A">
        <w:rPr>
          <w:rFonts w:ascii="Times New Roman" w:hAnsi="Times New Roman" w:cs="Times New Roman"/>
          <w:sz w:val="24"/>
        </w:rPr>
        <w:t xml:space="preserve"> муниципальном районе.</w:t>
      </w:r>
    </w:p>
    <w:p w:rsidR="00AF0DCD" w:rsidRPr="003A124A" w:rsidRDefault="00AF0DCD" w:rsidP="00AF0DCD">
      <w:pPr>
        <w:spacing w:after="0" w:line="240" w:lineRule="auto"/>
        <w:ind w:firstLine="708"/>
        <w:jc w:val="both"/>
        <w:rPr>
          <w:rFonts w:ascii="Times New Roman" w:hAnsi="Times New Roman" w:cs="Times New Roman"/>
          <w:sz w:val="24"/>
        </w:rPr>
      </w:pPr>
      <w:r w:rsidRPr="003A124A">
        <w:rPr>
          <w:rFonts w:ascii="Times New Roman" w:hAnsi="Times New Roman" w:cs="Times New Roman"/>
          <w:sz w:val="24"/>
        </w:rPr>
        <w:t>До органов местного самоуправления указанных выше муниципальных районов доведена информация о необходимости осуществления надлежащего контроля за приобретением в границах соответствующего административно-территориального образования дополнительной площади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rsidR="00ED1877" w:rsidRPr="003A124A" w:rsidRDefault="00B64BBB" w:rsidP="00AF0DCD">
      <w:pPr>
        <w:spacing w:after="0" w:line="240" w:lineRule="auto"/>
        <w:ind w:firstLine="708"/>
        <w:jc w:val="both"/>
        <w:rPr>
          <w:rFonts w:ascii="Times New Roman" w:hAnsi="Times New Roman" w:cs="Times New Roman"/>
          <w:sz w:val="24"/>
        </w:rPr>
      </w:pPr>
      <w:r w:rsidRPr="003A124A">
        <w:rPr>
          <w:rFonts w:ascii="Times New Roman" w:hAnsi="Times New Roman" w:cs="Times New Roman"/>
          <w:sz w:val="24"/>
        </w:rPr>
        <w:t>В настоящее время продолжается анализ документов, предоставленных торговыми сетями.</w:t>
      </w:r>
    </w:p>
    <w:p w:rsidR="00AF0DCD" w:rsidRPr="003A124A" w:rsidRDefault="00AF0DCD" w:rsidP="00AF0DCD">
      <w:pPr>
        <w:spacing w:after="0" w:line="240" w:lineRule="auto"/>
        <w:ind w:firstLine="708"/>
        <w:jc w:val="both"/>
        <w:rPr>
          <w:rFonts w:ascii="Times New Roman" w:hAnsi="Times New Roman" w:cs="Times New Roman"/>
          <w:sz w:val="24"/>
        </w:rPr>
      </w:pPr>
    </w:p>
    <w:p w:rsidR="00750D28" w:rsidRPr="003A124A" w:rsidRDefault="00750D28" w:rsidP="003A124A">
      <w:pPr>
        <w:spacing w:after="0" w:line="240" w:lineRule="auto"/>
        <w:ind w:left="708"/>
        <w:jc w:val="center"/>
        <w:rPr>
          <w:rFonts w:ascii="Times New Roman" w:eastAsia="Times New Roman" w:hAnsi="Times New Roman" w:cs="Times New Roman"/>
          <w:b/>
          <w:sz w:val="24"/>
        </w:rPr>
      </w:pPr>
      <w:r w:rsidRPr="003A124A">
        <w:rPr>
          <w:rFonts w:ascii="Times New Roman" w:eastAsia="Calibri" w:hAnsi="Times New Roman" w:cs="Times New Roman"/>
          <w:b/>
          <w:sz w:val="24"/>
          <w:lang w:eastAsia="en-US"/>
        </w:rPr>
        <w:t>Контроль соблюдения Федерального закона «О защите конкуренции»</w:t>
      </w:r>
    </w:p>
    <w:p w:rsidR="00750D28" w:rsidRPr="003A124A" w:rsidRDefault="00750D28" w:rsidP="00750D28">
      <w:pPr>
        <w:spacing w:after="0" w:line="240" w:lineRule="auto"/>
        <w:ind w:firstLine="708"/>
        <w:jc w:val="both"/>
        <w:rPr>
          <w:rFonts w:ascii="Times New Roman" w:eastAsia="Calibri" w:hAnsi="Times New Roman" w:cs="Times New Roman"/>
          <w:sz w:val="24"/>
          <w:lang w:eastAsia="en-US"/>
        </w:rPr>
      </w:pPr>
    </w:p>
    <w:p w:rsidR="00DB3238" w:rsidRPr="003A124A" w:rsidRDefault="00750D28" w:rsidP="00FB1195">
      <w:pPr>
        <w:spacing w:after="0" w:line="240" w:lineRule="auto"/>
        <w:ind w:firstLine="708"/>
        <w:jc w:val="both"/>
        <w:rPr>
          <w:rFonts w:ascii="Times New Roman" w:eastAsia="Calibri" w:hAnsi="Times New Roman" w:cs="Times New Roman"/>
          <w:sz w:val="24"/>
          <w:lang w:eastAsia="en-US"/>
        </w:rPr>
      </w:pPr>
      <w:r w:rsidRPr="003A124A">
        <w:rPr>
          <w:rFonts w:ascii="Times New Roman" w:eastAsia="Calibri" w:hAnsi="Times New Roman" w:cs="Times New Roman"/>
          <w:sz w:val="24"/>
          <w:lang w:eastAsia="en-US"/>
        </w:rPr>
        <w:t>За истекший период 2017г. управлением рассмотрено 153 заявления, возбуждено 24 дела о нарушении антимонопольного законодательства</w:t>
      </w:r>
      <w:r w:rsidR="00677E47" w:rsidRPr="003A124A">
        <w:rPr>
          <w:rFonts w:ascii="Times New Roman" w:eastAsia="Calibri" w:hAnsi="Times New Roman" w:cs="Times New Roman"/>
          <w:sz w:val="24"/>
          <w:lang w:eastAsia="en-US"/>
        </w:rPr>
        <w:t>,</w:t>
      </w:r>
      <w:r w:rsidR="00CE3477" w:rsidRPr="003A124A">
        <w:rPr>
          <w:rFonts w:ascii="Times New Roman" w:eastAsia="Calibri" w:hAnsi="Times New Roman" w:cs="Times New Roman"/>
          <w:sz w:val="24"/>
          <w:lang w:eastAsia="en-US"/>
        </w:rPr>
        <w:t xml:space="preserve"> из них: по ст.10 – 6 дел, по ст</w:t>
      </w:r>
      <w:r w:rsidR="00873D99">
        <w:rPr>
          <w:rFonts w:ascii="Times New Roman" w:eastAsia="Calibri" w:hAnsi="Times New Roman" w:cs="Times New Roman"/>
          <w:sz w:val="24"/>
          <w:lang w:eastAsia="en-US"/>
        </w:rPr>
        <w:t xml:space="preserve">атьям </w:t>
      </w:r>
      <w:r w:rsidR="00CE3477" w:rsidRPr="003A124A">
        <w:rPr>
          <w:rFonts w:ascii="Times New Roman" w:eastAsia="Calibri" w:hAnsi="Times New Roman" w:cs="Times New Roman"/>
          <w:sz w:val="24"/>
          <w:lang w:eastAsia="en-US"/>
        </w:rPr>
        <w:t>14.2-14.8 – 9 дел.</w:t>
      </w:r>
    </w:p>
    <w:p w:rsidR="00CE3477" w:rsidRPr="003A124A" w:rsidRDefault="00CE3477" w:rsidP="00FB1195">
      <w:pPr>
        <w:spacing w:after="0" w:line="240" w:lineRule="auto"/>
        <w:ind w:firstLine="708"/>
        <w:jc w:val="both"/>
        <w:rPr>
          <w:rFonts w:ascii="Times New Roman" w:eastAsia="Calibri" w:hAnsi="Times New Roman" w:cs="Times New Roman"/>
          <w:lang w:eastAsia="en-US"/>
        </w:rPr>
      </w:pPr>
      <w:r w:rsidRPr="003A124A">
        <w:rPr>
          <w:rFonts w:ascii="Times New Roman" w:eastAsia="Calibri" w:hAnsi="Times New Roman" w:cs="Times New Roman"/>
          <w:sz w:val="24"/>
          <w:lang w:eastAsia="en-US"/>
        </w:rPr>
        <w:t xml:space="preserve">Пример рассмотренного дела о злоупотреблении доминирующем положением: </w:t>
      </w:r>
      <w:r w:rsidRPr="003A124A">
        <w:rPr>
          <w:rFonts w:ascii="Times New Roman" w:eastAsia="Calibri" w:hAnsi="Times New Roman" w:cs="Times New Roman"/>
          <w:i/>
          <w:lang w:eastAsia="en-US"/>
        </w:rPr>
        <w:t xml:space="preserve">В адрес Липецкого УФАС России поступило заявление ООО «ГУК «Октябрьская» по вопросу нарушения ООО «Городская </w:t>
      </w:r>
      <w:proofErr w:type="spellStart"/>
      <w:r w:rsidRPr="003A124A">
        <w:rPr>
          <w:rFonts w:ascii="Times New Roman" w:eastAsia="Calibri" w:hAnsi="Times New Roman" w:cs="Times New Roman"/>
          <w:i/>
          <w:lang w:eastAsia="en-US"/>
        </w:rPr>
        <w:t>энергосбытовая</w:t>
      </w:r>
      <w:proofErr w:type="spellEnd"/>
      <w:r w:rsidRPr="003A124A">
        <w:rPr>
          <w:rFonts w:ascii="Times New Roman" w:eastAsia="Calibri" w:hAnsi="Times New Roman" w:cs="Times New Roman"/>
          <w:i/>
          <w:lang w:eastAsia="en-US"/>
        </w:rPr>
        <w:t xml:space="preserve"> компания» № 135-ФЗ «О защите конкуренции» путем направления уведомления о введении самоограничения режима потребления электроэнергии в отношении мест общего пользования многоквартирных домов. Комиссией Липецкого УФАС России было установлено, что введение ООО «ГУК «Октябрьская» ограничения поставки электроэнергии неизбежно приведет к нарушению прав и законных интересов собственников помещений в указанных домах, являющихся добросовестными потребителями и исправно оплачивающими электроэнергию, а неисполнение данных требований ООО «ГЭСК» может привести к ущемлению интересов ООО «ГУК «Октябрьская» в сфере предпринимательской деятельности. При таких обстоятельствах, Комиссия Липецкого УФАС России признала наличие нарушения части 1 статьи 10 Федерального закона № 135-ФЗ «О защите конкуренции» в действиях ООО «Городская </w:t>
      </w:r>
      <w:proofErr w:type="spellStart"/>
      <w:r w:rsidRPr="003A124A">
        <w:rPr>
          <w:rFonts w:ascii="Times New Roman" w:eastAsia="Calibri" w:hAnsi="Times New Roman" w:cs="Times New Roman"/>
          <w:i/>
          <w:lang w:eastAsia="en-US"/>
        </w:rPr>
        <w:t>энергосбытовая</w:t>
      </w:r>
      <w:proofErr w:type="spellEnd"/>
      <w:r w:rsidRPr="003A124A">
        <w:rPr>
          <w:rFonts w:ascii="Times New Roman" w:eastAsia="Calibri" w:hAnsi="Times New Roman" w:cs="Times New Roman"/>
          <w:i/>
          <w:lang w:eastAsia="en-US"/>
        </w:rPr>
        <w:t xml:space="preserve"> компания», выразившегося в совершении ООО «ГЭСК» действий прямо не предусмотренных ст. 38 № 35-ФЗ «Об электроэнергетике», п. 121, п. 122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 354, путем направления в адрес ООО «ГУК «Октябрьская» уведомления о введении самоограничения режима потребления электрической энергии, результатом которого могло явиться ущемление интересов ООО «ГУК «Октябрьская» в сфере предпринимательской деятельности.</w:t>
      </w:r>
    </w:p>
    <w:p w:rsidR="00CE3477" w:rsidRPr="003A124A" w:rsidRDefault="00CE3477" w:rsidP="00CE3477">
      <w:pPr>
        <w:spacing w:after="0" w:line="240" w:lineRule="auto"/>
        <w:ind w:firstLine="708"/>
        <w:jc w:val="both"/>
        <w:rPr>
          <w:rFonts w:ascii="Times New Roman" w:eastAsia="Calibri" w:hAnsi="Times New Roman" w:cs="Times New Roman"/>
          <w:lang w:eastAsia="en-US"/>
        </w:rPr>
      </w:pPr>
    </w:p>
    <w:p w:rsidR="00CE3477" w:rsidRDefault="00CE3477" w:rsidP="00CE3477">
      <w:pPr>
        <w:spacing w:after="0" w:line="240" w:lineRule="auto"/>
        <w:ind w:firstLine="708"/>
        <w:jc w:val="both"/>
        <w:rPr>
          <w:rFonts w:ascii="Times New Roman" w:eastAsia="Calibri" w:hAnsi="Times New Roman" w:cs="Times New Roman"/>
          <w:sz w:val="24"/>
          <w:lang w:eastAsia="en-US"/>
        </w:rPr>
      </w:pPr>
      <w:r w:rsidRPr="003A124A">
        <w:rPr>
          <w:rFonts w:ascii="Times New Roman" w:eastAsia="Calibri" w:hAnsi="Times New Roman" w:cs="Times New Roman"/>
          <w:sz w:val="24"/>
          <w:lang w:eastAsia="en-US"/>
        </w:rPr>
        <w:t>Увеличилось количество заявлений о недобросовестной конкуренции</w:t>
      </w:r>
      <w:r w:rsidR="00873D99">
        <w:rPr>
          <w:rFonts w:ascii="Times New Roman" w:eastAsia="Calibri" w:hAnsi="Times New Roman" w:cs="Times New Roman"/>
          <w:sz w:val="24"/>
          <w:lang w:eastAsia="en-US"/>
        </w:rPr>
        <w:t>.</w:t>
      </w:r>
      <w:r w:rsidRPr="003A124A">
        <w:rPr>
          <w:rFonts w:ascii="Times New Roman" w:eastAsia="Calibri" w:hAnsi="Times New Roman" w:cs="Times New Roman"/>
          <w:sz w:val="24"/>
          <w:lang w:eastAsia="en-US"/>
        </w:rPr>
        <w:t xml:space="preserve"> </w:t>
      </w:r>
      <w:r w:rsidR="00873D99">
        <w:rPr>
          <w:rFonts w:ascii="Times New Roman" w:eastAsia="Calibri" w:hAnsi="Times New Roman" w:cs="Times New Roman"/>
          <w:sz w:val="24"/>
          <w:lang w:eastAsia="en-US"/>
        </w:rPr>
        <w:t>Т</w:t>
      </w:r>
      <w:r w:rsidRPr="003A124A">
        <w:rPr>
          <w:rFonts w:ascii="Times New Roman" w:eastAsia="Calibri" w:hAnsi="Times New Roman" w:cs="Times New Roman"/>
          <w:sz w:val="24"/>
          <w:lang w:eastAsia="en-US"/>
        </w:rPr>
        <w:t xml:space="preserve">ак, например, были рассмотрены дела, связанные с незаконным использованием </w:t>
      </w:r>
      <w:r w:rsidR="00873D99">
        <w:rPr>
          <w:rFonts w:ascii="Times New Roman" w:eastAsia="Calibri" w:hAnsi="Times New Roman" w:cs="Times New Roman"/>
          <w:sz w:val="24"/>
          <w:lang w:eastAsia="en-US"/>
        </w:rPr>
        <w:t xml:space="preserve">конкурентами </w:t>
      </w:r>
      <w:r w:rsidRPr="003A124A">
        <w:rPr>
          <w:rFonts w:ascii="Times New Roman" w:eastAsia="Calibri" w:hAnsi="Times New Roman" w:cs="Times New Roman"/>
          <w:sz w:val="24"/>
          <w:lang w:eastAsia="en-US"/>
        </w:rPr>
        <w:t>обозначения, тождественного товарному знаку, фирменному наименованию.</w:t>
      </w:r>
    </w:p>
    <w:p w:rsidR="003A124A" w:rsidRPr="003A124A" w:rsidRDefault="003A124A" w:rsidP="00CE3477">
      <w:pPr>
        <w:spacing w:after="0" w:line="240" w:lineRule="auto"/>
        <w:ind w:firstLine="708"/>
        <w:jc w:val="both"/>
        <w:rPr>
          <w:rFonts w:ascii="Times New Roman" w:eastAsia="Calibri" w:hAnsi="Times New Roman" w:cs="Times New Roman"/>
          <w:sz w:val="24"/>
          <w:lang w:eastAsia="en-US"/>
        </w:rPr>
      </w:pPr>
    </w:p>
    <w:p w:rsidR="00CE3477" w:rsidRPr="003A124A" w:rsidRDefault="00CE3477" w:rsidP="00CE3477">
      <w:pPr>
        <w:spacing w:after="0" w:line="240" w:lineRule="auto"/>
        <w:ind w:firstLine="708"/>
        <w:jc w:val="both"/>
        <w:rPr>
          <w:rFonts w:ascii="Times New Roman" w:eastAsia="Calibri" w:hAnsi="Times New Roman" w:cs="Times New Roman"/>
          <w:i/>
          <w:lang w:eastAsia="en-US"/>
        </w:rPr>
      </w:pPr>
      <w:r w:rsidRPr="003A124A">
        <w:rPr>
          <w:rFonts w:ascii="Times New Roman" w:eastAsia="Calibri" w:hAnsi="Times New Roman" w:cs="Times New Roman"/>
          <w:i/>
          <w:lang w:eastAsia="en-US"/>
        </w:rPr>
        <w:t>Рассматривались дела о недобросовестной конкуренции, связанной с приобретением и использованием исключительного права на средства индивидуализации юридического лица, а именно регистрации товарных знаков, тождественных и схожих до степени смешения с логотипами компании заявителя (Компания «</w:t>
      </w:r>
      <w:proofErr w:type="spellStart"/>
      <w:r w:rsidRPr="003A124A">
        <w:rPr>
          <w:rFonts w:ascii="Times New Roman" w:eastAsia="Calibri" w:hAnsi="Times New Roman" w:cs="Times New Roman"/>
          <w:i/>
          <w:lang w:eastAsia="en-US"/>
        </w:rPr>
        <w:t>Холмер</w:t>
      </w:r>
      <w:proofErr w:type="spellEnd"/>
      <w:r w:rsidRPr="003A124A">
        <w:rPr>
          <w:rFonts w:ascii="Times New Roman" w:eastAsia="Calibri" w:hAnsi="Times New Roman" w:cs="Times New Roman"/>
          <w:i/>
          <w:lang w:eastAsia="en-US"/>
        </w:rPr>
        <w:t xml:space="preserve"> </w:t>
      </w:r>
      <w:proofErr w:type="spellStart"/>
      <w:r w:rsidRPr="003A124A">
        <w:rPr>
          <w:rFonts w:ascii="Times New Roman" w:eastAsia="Calibri" w:hAnsi="Times New Roman" w:cs="Times New Roman"/>
          <w:i/>
          <w:lang w:eastAsia="en-US"/>
        </w:rPr>
        <w:t>Машиненбау</w:t>
      </w:r>
      <w:proofErr w:type="spellEnd"/>
      <w:r w:rsidRPr="003A124A">
        <w:rPr>
          <w:rFonts w:ascii="Times New Roman" w:eastAsia="Calibri" w:hAnsi="Times New Roman" w:cs="Times New Roman"/>
          <w:i/>
          <w:lang w:eastAsia="en-US"/>
        </w:rPr>
        <w:t xml:space="preserve"> </w:t>
      </w:r>
      <w:proofErr w:type="spellStart"/>
      <w:r w:rsidRPr="003A124A">
        <w:rPr>
          <w:rFonts w:ascii="Times New Roman" w:eastAsia="Calibri" w:hAnsi="Times New Roman" w:cs="Times New Roman"/>
          <w:i/>
          <w:lang w:eastAsia="en-US"/>
        </w:rPr>
        <w:t>ГМбХ</w:t>
      </w:r>
      <w:proofErr w:type="spellEnd"/>
      <w:r w:rsidRPr="003A124A">
        <w:rPr>
          <w:rFonts w:ascii="Times New Roman" w:eastAsia="Calibri" w:hAnsi="Times New Roman" w:cs="Times New Roman"/>
          <w:i/>
          <w:lang w:eastAsia="en-US"/>
        </w:rPr>
        <w:t>» и ООО «</w:t>
      </w:r>
      <w:proofErr w:type="spellStart"/>
      <w:r w:rsidRPr="003A124A">
        <w:rPr>
          <w:rFonts w:ascii="Times New Roman" w:eastAsia="Calibri" w:hAnsi="Times New Roman" w:cs="Times New Roman"/>
          <w:i/>
          <w:lang w:eastAsia="en-US"/>
        </w:rPr>
        <w:t>Холмер</w:t>
      </w:r>
      <w:proofErr w:type="spellEnd"/>
      <w:r w:rsidRPr="003A124A">
        <w:rPr>
          <w:rFonts w:ascii="Times New Roman" w:eastAsia="Calibri" w:hAnsi="Times New Roman" w:cs="Times New Roman"/>
          <w:i/>
          <w:lang w:eastAsia="en-US"/>
        </w:rPr>
        <w:t>-Русь»); с использовани</w:t>
      </w:r>
      <w:r w:rsidR="00FF3EA9" w:rsidRPr="003A124A">
        <w:rPr>
          <w:rFonts w:ascii="Times New Roman" w:eastAsia="Calibri" w:hAnsi="Times New Roman" w:cs="Times New Roman"/>
          <w:i/>
          <w:lang w:eastAsia="en-US"/>
        </w:rPr>
        <w:t>ем</w:t>
      </w:r>
      <w:r w:rsidRPr="003A124A">
        <w:rPr>
          <w:rFonts w:ascii="Times New Roman" w:eastAsia="Calibri" w:hAnsi="Times New Roman" w:cs="Times New Roman"/>
          <w:i/>
          <w:lang w:eastAsia="en-US"/>
        </w:rPr>
        <w:t xml:space="preserve"> юридическим лицом фирменного наименования, тождественного фирменному наименованию другого юридического лица и сходного с ним до степени смешения (АО «</w:t>
      </w:r>
      <w:proofErr w:type="spellStart"/>
      <w:r w:rsidRPr="003A124A">
        <w:rPr>
          <w:rFonts w:ascii="Times New Roman" w:eastAsia="Calibri" w:hAnsi="Times New Roman" w:cs="Times New Roman"/>
          <w:i/>
          <w:lang w:eastAsia="en-US"/>
        </w:rPr>
        <w:t>Липецкгеология</w:t>
      </w:r>
      <w:proofErr w:type="spellEnd"/>
      <w:r w:rsidRPr="003A124A">
        <w:rPr>
          <w:rFonts w:ascii="Times New Roman" w:eastAsia="Calibri" w:hAnsi="Times New Roman" w:cs="Times New Roman"/>
          <w:i/>
          <w:lang w:eastAsia="en-US"/>
        </w:rPr>
        <w:t>» и ООО «</w:t>
      </w:r>
      <w:proofErr w:type="spellStart"/>
      <w:r w:rsidRPr="003A124A">
        <w:rPr>
          <w:rFonts w:ascii="Times New Roman" w:eastAsia="Calibri" w:hAnsi="Times New Roman" w:cs="Times New Roman"/>
          <w:i/>
          <w:lang w:eastAsia="en-US"/>
        </w:rPr>
        <w:t>Липецкгеология</w:t>
      </w:r>
      <w:proofErr w:type="spellEnd"/>
      <w:r w:rsidRPr="003A124A">
        <w:rPr>
          <w:rFonts w:ascii="Times New Roman" w:eastAsia="Calibri" w:hAnsi="Times New Roman" w:cs="Times New Roman"/>
          <w:i/>
          <w:lang w:eastAsia="en-US"/>
        </w:rPr>
        <w:t>», ООО «</w:t>
      </w:r>
      <w:proofErr w:type="spellStart"/>
      <w:r w:rsidRPr="003A124A">
        <w:rPr>
          <w:rFonts w:ascii="Times New Roman" w:eastAsia="Calibri" w:hAnsi="Times New Roman" w:cs="Times New Roman"/>
          <w:i/>
          <w:lang w:eastAsia="en-US"/>
        </w:rPr>
        <w:t>Регионэнергосервис</w:t>
      </w:r>
      <w:proofErr w:type="spellEnd"/>
      <w:r w:rsidRPr="003A124A">
        <w:rPr>
          <w:rFonts w:ascii="Times New Roman" w:eastAsia="Calibri" w:hAnsi="Times New Roman" w:cs="Times New Roman"/>
          <w:i/>
          <w:lang w:eastAsia="en-US"/>
        </w:rPr>
        <w:t>» и ООО «</w:t>
      </w:r>
      <w:proofErr w:type="spellStart"/>
      <w:r w:rsidRPr="003A124A">
        <w:rPr>
          <w:rFonts w:ascii="Times New Roman" w:eastAsia="Calibri" w:hAnsi="Times New Roman" w:cs="Times New Roman"/>
          <w:i/>
          <w:lang w:eastAsia="en-US"/>
        </w:rPr>
        <w:t>Регионэнергосервис</w:t>
      </w:r>
      <w:proofErr w:type="spellEnd"/>
      <w:r w:rsidRPr="003A124A">
        <w:rPr>
          <w:rFonts w:ascii="Times New Roman" w:eastAsia="Calibri" w:hAnsi="Times New Roman" w:cs="Times New Roman"/>
          <w:i/>
          <w:lang w:eastAsia="en-US"/>
        </w:rPr>
        <w:t>»).</w:t>
      </w:r>
    </w:p>
    <w:p w:rsidR="00CE3477" w:rsidRPr="003A124A" w:rsidRDefault="00CE3477" w:rsidP="00FB1195">
      <w:pPr>
        <w:spacing w:after="0" w:line="240" w:lineRule="auto"/>
        <w:ind w:firstLine="708"/>
        <w:jc w:val="both"/>
        <w:rPr>
          <w:rFonts w:ascii="Times New Roman" w:eastAsia="Calibri" w:hAnsi="Times New Roman" w:cs="Times New Roman"/>
          <w:lang w:eastAsia="en-US"/>
        </w:rPr>
      </w:pPr>
    </w:p>
    <w:p w:rsidR="00CE3477" w:rsidRPr="003A124A" w:rsidRDefault="00CE3477" w:rsidP="00873D99">
      <w:pPr>
        <w:spacing w:after="0" w:line="240" w:lineRule="auto"/>
        <w:ind w:firstLine="708"/>
        <w:jc w:val="both"/>
        <w:rPr>
          <w:rFonts w:ascii="Times New Roman" w:eastAsia="Calibri" w:hAnsi="Times New Roman" w:cs="Times New Roman"/>
          <w:i/>
          <w:lang w:eastAsia="en-US"/>
        </w:rPr>
      </w:pPr>
      <w:r w:rsidRPr="003A124A">
        <w:rPr>
          <w:rFonts w:ascii="Times New Roman" w:eastAsia="Calibri" w:hAnsi="Times New Roman" w:cs="Times New Roman"/>
          <w:sz w:val="24"/>
          <w:lang w:eastAsia="en-US"/>
        </w:rPr>
        <w:lastRenderedPageBreak/>
        <w:t xml:space="preserve">Выявлены </w:t>
      </w:r>
      <w:r w:rsidR="009F16D8" w:rsidRPr="003A124A">
        <w:rPr>
          <w:rFonts w:ascii="Times New Roman" w:eastAsia="Calibri" w:hAnsi="Times New Roman" w:cs="Times New Roman"/>
          <w:sz w:val="24"/>
          <w:lang w:eastAsia="en-US"/>
        </w:rPr>
        <w:t xml:space="preserve">в 2017году </w:t>
      </w:r>
      <w:r w:rsidRPr="003A124A">
        <w:rPr>
          <w:rFonts w:ascii="Times New Roman" w:eastAsia="Calibri" w:hAnsi="Times New Roman" w:cs="Times New Roman"/>
          <w:sz w:val="24"/>
          <w:lang w:eastAsia="en-US"/>
        </w:rPr>
        <w:t>признаки нарушени</w:t>
      </w:r>
      <w:r w:rsidR="00873D99">
        <w:rPr>
          <w:rFonts w:ascii="Times New Roman" w:eastAsia="Calibri" w:hAnsi="Times New Roman" w:cs="Times New Roman"/>
          <w:sz w:val="24"/>
          <w:lang w:eastAsia="en-US"/>
        </w:rPr>
        <w:t>й</w:t>
      </w:r>
      <w:r w:rsidRPr="003A124A">
        <w:rPr>
          <w:rFonts w:ascii="Times New Roman" w:eastAsia="Calibri" w:hAnsi="Times New Roman" w:cs="Times New Roman"/>
          <w:sz w:val="24"/>
          <w:lang w:eastAsia="en-US"/>
        </w:rPr>
        <w:t xml:space="preserve"> по статье 16 – </w:t>
      </w:r>
      <w:proofErr w:type="spellStart"/>
      <w:r w:rsidRPr="003A124A">
        <w:rPr>
          <w:rFonts w:ascii="Times New Roman" w:eastAsia="Calibri" w:hAnsi="Times New Roman" w:cs="Times New Roman"/>
          <w:sz w:val="24"/>
          <w:lang w:eastAsia="en-US"/>
        </w:rPr>
        <w:t>антиконкурентные</w:t>
      </w:r>
      <w:proofErr w:type="spellEnd"/>
      <w:r w:rsidRPr="003A124A">
        <w:rPr>
          <w:rFonts w:ascii="Times New Roman" w:eastAsia="Calibri" w:hAnsi="Times New Roman" w:cs="Times New Roman"/>
          <w:sz w:val="24"/>
          <w:lang w:eastAsia="en-US"/>
        </w:rPr>
        <w:t xml:space="preserve"> соглашения органов власти </w:t>
      </w:r>
      <w:r w:rsidR="00743AA6">
        <w:rPr>
          <w:rFonts w:ascii="Times New Roman" w:eastAsia="Calibri" w:hAnsi="Times New Roman" w:cs="Times New Roman"/>
          <w:sz w:val="24"/>
          <w:lang w:eastAsia="en-US"/>
        </w:rPr>
        <w:t>с хозяйствующими субъектами</w:t>
      </w:r>
      <w:r w:rsidRPr="003A124A">
        <w:rPr>
          <w:rFonts w:ascii="Times New Roman" w:eastAsia="Calibri" w:hAnsi="Times New Roman" w:cs="Times New Roman"/>
          <w:sz w:val="24"/>
          <w:lang w:eastAsia="en-US"/>
        </w:rPr>
        <w:t xml:space="preserve">, которые могут повлиять на конкуренцию: </w:t>
      </w:r>
      <w:r w:rsidR="009F16D8">
        <w:rPr>
          <w:rFonts w:ascii="Times New Roman" w:eastAsia="Calibri" w:hAnsi="Times New Roman" w:cs="Times New Roman"/>
          <w:sz w:val="24"/>
          <w:lang w:eastAsia="en-US"/>
        </w:rPr>
        <w:t xml:space="preserve">по </w:t>
      </w:r>
      <w:r w:rsidRPr="003A124A">
        <w:rPr>
          <w:rFonts w:ascii="Times New Roman" w:eastAsia="Calibri" w:hAnsi="Times New Roman" w:cs="Times New Roman"/>
          <w:sz w:val="24"/>
          <w:lang w:eastAsia="en-US"/>
        </w:rPr>
        <w:t xml:space="preserve">2 </w:t>
      </w:r>
      <w:r w:rsidR="009F16D8">
        <w:rPr>
          <w:rFonts w:ascii="Times New Roman" w:eastAsia="Calibri" w:hAnsi="Times New Roman" w:cs="Times New Roman"/>
          <w:sz w:val="24"/>
          <w:lang w:eastAsia="en-US"/>
        </w:rPr>
        <w:t xml:space="preserve">делам </w:t>
      </w:r>
      <w:r w:rsidRPr="003A124A">
        <w:rPr>
          <w:rFonts w:ascii="Times New Roman" w:eastAsia="Calibri" w:hAnsi="Times New Roman" w:cs="Times New Roman"/>
          <w:sz w:val="24"/>
          <w:lang w:eastAsia="en-US"/>
        </w:rPr>
        <w:t>признано нарушением, 2 - в стадии рассмотрения (в 2016-0)</w:t>
      </w:r>
      <w:r w:rsidR="00873D99">
        <w:rPr>
          <w:rFonts w:ascii="Times New Roman" w:eastAsia="Calibri" w:hAnsi="Times New Roman" w:cs="Times New Roman"/>
          <w:sz w:val="24"/>
          <w:lang w:eastAsia="en-US"/>
        </w:rPr>
        <w:t>.</w:t>
      </w:r>
      <w:r w:rsidR="00AF0DCD" w:rsidRPr="003A124A">
        <w:rPr>
          <w:rFonts w:ascii="Times New Roman" w:eastAsia="Calibri" w:hAnsi="Times New Roman" w:cs="Times New Roman"/>
          <w:sz w:val="24"/>
          <w:lang w:eastAsia="en-US"/>
        </w:rPr>
        <w:t xml:space="preserve"> </w:t>
      </w:r>
    </w:p>
    <w:p w:rsidR="00CE3477" w:rsidRPr="003A124A" w:rsidRDefault="00CE3477" w:rsidP="00CE3477">
      <w:pPr>
        <w:spacing w:after="0" w:line="240" w:lineRule="auto"/>
        <w:ind w:firstLine="708"/>
        <w:jc w:val="both"/>
        <w:rPr>
          <w:rFonts w:ascii="Times New Roman" w:eastAsia="Calibri" w:hAnsi="Times New Roman" w:cs="Times New Roman"/>
          <w:i/>
          <w:lang w:eastAsia="en-US"/>
        </w:rPr>
      </w:pPr>
      <w:r w:rsidRPr="003A124A">
        <w:rPr>
          <w:rFonts w:ascii="Times New Roman" w:eastAsia="Calibri" w:hAnsi="Times New Roman" w:cs="Times New Roman"/>
          <w:i/>
          <w:lang w:eastAsia="en-US"/>
        </w:rPr>
        <w:t xml:space="preserve">Достижение и реализация </w:t>
      </w:r>
      <w:r w:rsidR="00E3022C">
        <w:rPr>
          <w:rFonts w:ascii="Times New Roman" w:eastAsia="Calibri" w:hAnsi="Times New Roman" w:cs="Times New Roman"/>
          <w:i/>
          <w:lang w:eastAsia="en-US"/>
        </w:rPr>
        <w:t>договоренности</w:t>
      </w:r>
      <w:r w:rsidRPr="003A124A">
        <w:rPr>
          <w:rFonts w:ascii="Times New Roman" w:eastAsia="Calibri" w:hAnsi="Times New Roman" w:cs="Times New Roman"/>
          <w:i/>
          <w:lang w:eastAsia="en-US"/>
        </w:rPr>
        <w:t xml:space="preserve"> </w:t>
      </w:r>
      <w:r w:rsidR="00743AA6">
        <w:rPr>
          <w:rFonts w:ascii="Times New Roman" w:eastAsia="Calibri" w:hAnsi="Times New Roman" w:cs="Times New Roman"/>
          <w:i/>
          <w:lang w:eastAsia="en-US"/>
        </w:rPr>
        <w:t>органа местного самоуправления с подведомственным</w:t>
      </w:r>
      <w:r w:rsidR="00566CEB">
        <w:rPr>
          <w:rFonts w:ascii="Times New Roman" w:eastAsia="Calibri" w:hAnsi="Times New Roman" w:cs="Times New Roman"/>
          <w:i/>
          <w:lang w:eastAsia="en-US"/>
        </w:rPr>
        <w:t>и</w:t>
      </w:r>
      <w:r w:rsidR="00743AA6">
        <w:rPr>
          <w:rFonts w:ascii="Times New Roman" w:eastAsia="Calibri" w:hAnsi="Times New Roman" w:cs="Times New Roman"/>
          <w:i/>
          <w:lang w:eastAsia="en-US"/>
        </w:rPr>
        <w:t xml:space="preserve"> учреждени</w:t>
      </w:r>
      <w:r w:rsidR="00566CEB">
        <w:rPr>
          <w:rFonts w:ascii="Times New Roman" w:eastAsia="Calibri" w:hAnsi="Times New Roman" w:cs="Times New Roman"/>
          <w:i/>
          <w:lang w:eastAsia="en-US"/>
        </w:rPr>
        <w:t>я</w:t>
      </w:r>
      <w:r w:rsidR="00743AA6">
        <w:rPr>
          <w:rFonts w:ascii="Times New Roman" w:eastAsia="Calibri" w:hAnsi="Times New Roman" w:cs="Times New Roman"/>
          <w:i/>
          <w:lang w:eastAsia="en-US"/>
        </w:rPr>
        <w:t>м</w:t>
      </w:r>
      <w:r w:rsidR="00566CEB">
        <w:rPr>
          <w:rFonts w:ascii="Times New Roman" w:eastAsia="Calibri" w:hAnsi="Times New Roman" w:cs="Times New Roman"/>
          <w:i/>
          <w:lang w:eastAsia="en-US"/>
        </w:rPr>
        <w:t>и</w:t>
      </w:r>
      <w:r w:rsidR="00743AA6">
        <w:rPr>
          <w:rFonts w:ascii="Times New Roman" w:eastAsia="Calibri" w:hAnsi="Times New Roman" w:cs="Times New Roman"/>
          <w:i/>
          <w:lang w:eastAsia="en-US"/>
        </w:rPr>
        <w:t xml:space="preserve"> </w:t>
      </w:r>
      <w:r w:rsidR="00E3022C">
        <w:rPr>
          <w:rFonts w:ascii="Times New Roman" w:eastAsia="Calibri" w:hAnsi="Times New Roman" w:cs="Times New Roman"/>
          <w:i/>
          <w:lang w:eastAsia="en-US"/>
        </w:rPr>
        <w:t xml:space="preserve">по </w:t>
      </w:r>
      <w:r w:rsidR="00743AA6" w:rsidRPr="003A124A">
        <w:rPr>
          <w:rFonts w:ascii="Times New Roman" w:eastAsia="Calibri" w:hAnsi="Times New Roman" w:cs="Times New Roman"/>
          <w:i/>
          <w:lang w:eastAsia="en-US"/>
        </w:rPr>
        <w:t>лишени</w:t>
      </w:r>
      <w:r w:rsidR="00743AA6">
        <w:rPr>
          <w:rFonts w:ascii="Times New Roman" w:eastAsia="Calibri" w:hAnsi="Times New Roman" w:cs="Times New Roman"/>
          <w:i/>
          <w:lang w:eastAsia="en-US"/>
        </w:rPr>
        <w:t xml:space="preserve">ю </w:t>
      </w:r>
      <w:r w:rsidR="00E3022C" w:rsidRPr="003A124A">
        <w:rPr>
          <w:rFonts w:ascii="Times New Roman" w:eastAsia="Calibri" w:hAnsi="Times New Roman" w:cs="Times New Roman"/>
          <w:i/>
          <w:lang w:eastAsia="en-US"/>
        </w:rPr>
        <w:t>возможностей всем хозяйствующим субъектам, выполняющим строительные работы</w:t>
      </w:r>
      <w:r w:rsidR="00E3022C">
        <w:rPr>
          <w:rFonts w:ascii="Times New Roman" w:eastAsia="Calibri" w:hAnsi="Times New Roman" w:cs="Times New Roman"/>
          <w:i/>
          <w:lang w:eastAsia="en-US"/>
        </w:rPr>
        <w:t>,</w:t>
      </w:r>
      <w:r w:rsidR="00E3022C" w:rsidRPr="003A124A">
        <w:rPr>
          <w:rFonts w:ascii="Times New Roman" w:eastAsia="Calibri" w:hAnsi="Times New Roman" w:cs="Times New Roman"/>
          <w:i/>
          <w:lang w:eastAsia="en-US"/>
        </w:rPr>
        <w:t xml:space="preserve"> побороться за заключение договора на выполнение работ по капитальному ремонту здани</w:t>
      </w:r>
      <w:r w:rsidR="00E3022C">
        <w:rPr>
          <w:rFonts w:ascii="Times New Roman" w:eastAsia="Calibri" w:hAnsi="Times New Roman" w:cs="Times New Roman"/>
          <w:i/>
          <w:lang w:eastAsia="en-US"/>
        </w:rPr>
        <w:t xml:space="preserve">й </w:t>
      </w:r>
      <w:r w:rsidR="00E3022C" w:rsidRPr="003A124A">
        <w:rPr>
          <w:rFonts w:ascii="Times New Roman" w:eastAsia="Calibri" w:hAnsi="Times New Roman" w:cs="Times New Roman"/>
          <w:i/>
          <w:lang w:eastAsia="en-US"/>
        </w:rPr>
        <w:t>дошкольных образовательных учреждений</w:t>
      </w:r>
      <w:r w:rsidRPr="003A124A">
        <w:rPr>
          <w:rFonts w:ascii="Times New Roman" w:eastAsia="Calibri" w:hAnsi="Times New Roman" w:cs="Times New Roman"/>
          <w:i/>
          <w:lang w:eastAsia="en-US"/>
        </w:rPr>
        <w:t>.</w:t>
      </w:r>
    </w:p>
    <w:p w:rsidR="00873D99" w:rsidRPr="003A124A" w:rsidRDefault="00873D99" w:rsidP="00873D99">
      <w:pPr>
        <w:spacing w:after="0" w:line="240" w:lineRule="auto"/>
        <w:ind w:firstLine="708"/>
        <w:jc w:val="both"/>
        <w:rPr>
          <w:rFonts w:ascii="Times New Roman" w:eastAsia="Calibri" w:hAnsi="Times New Roman" w:cs="Times New Roman"/>
          <w:lang w:eastAsia="en-US"/>
        </w:rPr>
      </w:pPr>
      <w:r>
        <w:rPr>
          <w:rFonts w:ascii="Times New Roman" w:eastAsia="Calibri" w:hAnsi="Times New Roman" w:cs="Times New Roman"/>
          <w:sz w:val="24"/>
          <w:lang w:eastAsia="en-US"/>
        </w:rPr>
        <w:t>П</w:t>
      </w:r>
      <w:r w:rsidRPr="003A124A">
        <w:rPr>
          <w:rFonts w:ascii="Times New Roman" w:eastAsia="Calibri" w:hAnsi="Times New Roman" w:cs="Times New Roman"/>
          <w:sz w:val="24"/>
          <w:lang w:eastAsia="en-US"/>
        </w:rPr>
        <w:t>о статье 15 рассмотрено 1 дело</w:t>
      </w:r>
      <w:r>
        <w:rPr>
          <w:rFonts w:ascii="Times New Roman" w:eastAsia="Calibri" w:hAnsi="Times New Roman" w:cs="Times New Roman"/>
          <w:lang w:eastAsia="en-US"/>
        </w:rPr>
        <w:t>:</w:t>
      </w:r>
    </w:p>
    <w:p w:rsidR="00873D99" w:rsidRPr="003A124A" w:rsidRDefault="00873D99" w:rsidP="00873D99">
      <w:pPr>
        <w:spacing w:after="0" w:line="240" w:lineRule="auto"/>
        <w:ind w:firstLine="708"/>
        <w:jc w:val="both"/>
        <w:rPr>
          <w:rFonts w:ascii="Times New Roman" w:eastAsia="Calibri" w:hAnsi="Times New Roman" w:cs="Times New Roman"/>
          <w:i/>
          <w:lang w:eastAsia="en-US"/>
        </w:rPr>
      </w:pPr>
      <w:r>
        <w:rPr>
          <w:rFonts w:ascii="Times New Roman" w:eastAsia="Calibri" w:hAnsi="Times New Roman" w:cs="Times New Roman"/>
          <w:i/>
          <w:lang w:eastAsia="en-US"/>
        </w:rPr>
        <w:t>Создание дискриминационных условий ведения предпринимательской деятельности и н</w:t>
      </w:r>
      <w:r w:rsidRPr="003A124A">
        <w:rPr>
          <w:rFonts w:ascii="Times New Roman" w:eastAsia="Calibri" w:hAnsi="Times New Roman" w:cs="Times New Roman"/>
          <w:i/>
          <w:lang w:eastAsia="en-US"/>
        </w:rPr>
        <w:t xml:space="preserve">еобоснованное препятствование </w:t>
      </w:r>
      <w:r>
        <w:rPr>
          <w:rFonts w:ascii="Times New Roman" w:eastAsia="Calibri" w:hAnsi="Times New Roman" w:cs="Times New Roman"/>
          <w:i/>
          <w:lang w:eastAsia="en-US"/>
        </w:rPr>
        <w:t xml:space="preserve">ее </w:t>
      </w:r>
      <w:r w:rsidRPr="003A124A">
        <w:rPr>
          <w:rFonts w:ascii="Times New Roman" w:eastAsia="Calibri" w:hAnsi="Times New Roman" w:cs="Times New Roman"/>
          <w:i/>
          <w:lang w:eastAsia="en-US"/>
        </w:rPr>
        <w:t>осуществлению в сфере розничной торговли с использованием н</w:t>
      </w:r>
      <w:r>
        <w:rPr>
          <w:rFonts w:ascii="Times New Roman" w:eastAsia="Calibri" w:hAnsi="Times New Roman" w:cs="Times New Roman"/>
          <w:i/>
          <w:lang w:eastAsia="en-US"/>
        </w:rPr>
        <w:t>естационарных торговых объектов путем н</w:t>
      </w:r>
      <w:r w:rsidRPr="003A124A">
        <w:rPr>
          <w:rFonts w:ascii="Times New Roman" w:eastAsia="Calibri" w:hAnsi="Times New Roman" w:cs="Times New Roman"/>
          <w:i/>
          <w:lang w:eastAsia="en-US"/>
        </w:rPr>
        <w:t>еправомерно</w:t>
      </w:r>
      <w:r>
        <w:rPr>
          <w:rFonts w:ascii="Times New Roman" w:eastAsia="Calibri" w:hAnsi="Times New Roman" w:cs="Times New Roman"/>
          <w:i/>
          <w:lang w:eastAsia="en-US"/>
        </w:rPr>
        <w:t>го</w:t>
      </w:r>
      <w:r w:rsidRPr="003A124A">
        <w:rPr>
          <w:rFonts w:ascii="Times New Roman" w:eastAsia="Calibri" w:hAnsi="Times New Roman" w:cs="Times New Roman"/>
          <w:i/>
          <w:lang w:eastAsia="en-US"/>
        </w:rPr>
        <w:t xml:space="preserve"> исключени</w:t>
      </w:r>
      <w:r>
        <w:rPr>
          <w:rFonts w:ascii="Times New Roman" w:eastAsia="Calibri" w:hAnsi="Times New Roman" w:cs="Times New Roman"/>
          <w:i/>
          <w:lang w:eastAsia="en-US"/>
        </w:rPr>
        <w:t>я</w:t>
      </w:r>
      <w:r w:rsidRPr="003A124A">
        <w:rPr>
          <w:rFonts w:ascii="Times New Roman" w:eastAsia="Calibri" w:hAnsi="Times New Roman" w:cs="Times New Roman"/>
          <w:i/>
          <w:lang w:eastAsia="en-US"/>
        </w:rPr>
        <w:t xml:space="preserve"> из Схемы размещения нестационарных торговых объектов на территории города Липец</w:t>
      </w:r>
      <w:r>
        <w:rPr>
          <w:rFonts w:ascii="Times New Roman" w:eastAsia="Calibri" w:hAnsi="Times New Roman" w:cs="Times New Roman"/>
          <w:i/>
          <w:lang w:eastAsia="en-US"/>
        </w:rPr>
        <w:t>ка на 2015-2017 годы сведений в отношении предпринимателя</w:t>
      </w:r>
      <w:r w:rsidRPr="003A124A">
        <w:rPr>
          <w:rFonts w:ascii="Times New Roman" w:eastAsia="Calibri" w:hAnsi="Times New Roman" w:cs="Times New Roman"/>
          <w:i/>
          <w:lang w:eastAsia="en-US"/>
        </w:rPr>
        <w:t xml:space="preserve">. </w:t>
      </w:r>
    </w:p>
    <w:p w:rsidR="00566CEB" w:rsidRDefault="00566CEB" w:rsidP="00FB1195">
      <w:pPr>
        <w:spacing w:after="0" w:line="240" w:lineRule="auto"/>
        <w:ind w:firstLine="708"/>
        <w:jc w:val="both"/>
        <w:rPr>
          <w:rFonts w:ascii="Times New Roman" w:eastAsia="Calibri" w:hAnsi="Times New Roman" w:cs="Times New Roman"/>
          <w:sz w:val="24"/>
          <w:lang w:eastAsia="en-US"/>
        </w:rPr>
      </w:pPr>
    </w:p>
    <w:p w:rsidR="00CE3477" w:rsidRPr="003A124A" w:rsidRDefault="00CE3477" w:rsidP="00FB1195">
      <w:pPr>
        <w:spacing w:after="0" w:line="240" w:lineRule="auto"/>
        <w:ind w:firstLine="708"/>
        <w:jc w:val="both"/>
        <w:rPr>
          <w:rFonts w:ascii="Times New Roman" w:eastAsia="Calibri" w:hAnsi="Times New Roman" w:cs="Times New Roman"/>
          <w:sz w:val="24"/>
          <w:lang w:eastAsia="en-US"/>
        </w:rPr>
      </w:pPr>
      <w:r w:rsidRPr="003A124A">
        <w:rPr>
          <w:rFonts w:ascii="Times New Roman" w:eastAsia="Calibri" w:hAnsi="Times New Roman" w:cs="Times New Roman"/>
          <w:sz w:val="24"/>
          <w:lang w:eastAsia="en-US"/>
        </w:rPr>
        <w:t>В отчетном периоде выдано 36 предупреждени</w:t>
      </w:r>
      <w:r w:rsidR="00AF0DCD" w:rsidRPr="003A124A">
        <w:rPr>
          <w:rFonts w:ascii="Times New Roman" w:eastAsia="Calibri" w:hAnsi="Times New Roman" w:cs="Times New Roman"/>
          <w:sz w:val="24"/>
          <w:lang w:eastAsia="en-US"/>
        </w:rPr>
        <w:t>й</w:t>
      </w:r>
      <w:r w:rsidRPr="003A124A">
        <w:rPr>
          <w:rFonts w:ascii="Times New Roman" w:eastAsia="Calibri" w:hAnsi="Times New Roman" w:cs="Times New Roman"/>
          <w:sz w:val="24"/>
          <w:lang w:eastAsia="en-US"/>
        </w:rPr>
        <w:t xml:space="preserve"> (27 исполнено) (в аналогичный период 2016 – 40), в т. ч. 21 предупреждение – органам различного уровня, 13 предупреждений по недобросовестной конкуренции. Основное количество предупреждений </w:t>
      </w:r>
      <w:r w:rsidR="00566CEB">
        <w:rPr>
          <w:rFonts w:ascii="Times New Roman" w:eastAsia="Calibri" w:hAnsi="Times New Roman" w:cs="Times New Roman"/>
          <w:sz w:val="24"/>
          <w:lang w:eastAsia="en-US"/>
        </w:rPr>
        <w:t xml:space="preserve">органам </w:t>
      </w:r>
      <w:r w:rsidRPr="003A124A">
        <w:rPr>
          <w:rFonts w:ascii="Times New Roman" w:eastAsia="Calibri" w:hAnsi="Times New Roman" w:cs="Times New Roman"/>
          <w:sz w:val="24"/>
          <w:lang w:eastAsia="en-US"/>
        </w:rPr>
        <w:t>выдавалось в сферах строительства (утверждение административного регламента для оказания муниципальной услуги «Выдача разрешения на строительство»</w:t>
      </w:r>
      <w:r w:rsidR="00AF0DCD" w:rsidRPr="003A124A">
        <w:rPr>
          <w:rFonts w:ascii="Times New Roman" w:eastAsia="Calibri" w:hAnsi="Times New Roman" w:cs="Times New Roman"/>
          <w:sz w:val="24"/>
          <w:lang w:eastAsia="en-US"/>
        </w:rPr>
        <w:t>,</w:t>
      </w:r>
      <w:r w:rsidRPr="003A124A">
        <w:rPr>
          <w:rFonts w:ascii="Times New Roman" w:eastAsia="Calibri" w:hAnsi="Times New Roman" w:cs="Times New Roman"/>
          <w:sz w:val="24"/>
          <w:lang w:eastAsia="en-US"/>
        </w:rPr>
        <w:t xml:space="preserve"> содержащего требования предоставления в составе заявления документов, не предусмотренных действующим законодательством).</w:t>
      </w:r>
      <w:r w:rsidR="00566CEB">
        <w:rPr>
          <w:rFonts w:ascii="Times New Roman" w:eastAsia="Calibri" w:hAnsi="Times New Roman" w:cs="Times New Roman"/>
          <w:sz w:val="24"/>
          <w:lang w:eastAsia="en-US"/>
        </w:rPr>
        <w:t xml:space="preserve"> Недобросовестная конкуренция выявлялась на рынках ОСАГО и управление МКД.</w:t>
      </w:r>
    </w:p>
    <w:tbl>
      <w:tblPr>
        <w:tblStyle w:val="1"/>
        <w:tblpPr w:leftFromText="180" w:rightFromText="180" w:vertAnchor="text" w:horzAnchor="margin" w:tblpXSpec="center" w:tblpY="205"/>
        <w:tblW w:w="4077" w:type="dxa"/>
        <w:tblLook w:val="04A0" w:firstRow="1" w:lastRow="0" w:firstColumn="1" w:lastColumn="0" w:noHBand="0" w:noVBand="1"/>
      </w:tblPr>
      <w:tblGrid>
        <w:gridCol w:w="1256"/>
        <w:gridCol w:w="2821"/>
      </w:tblGrid>
      <w:tr w:rsidR="00CE3477" w:rsidRPr="003A124A" w:rsidTr="00CE3477">
        <w:trPr>
          <w:trHeight w:val="960"/>
        </w:trPr>
        <w:tc>
          <w:tcPr>
            <w:tcW w:w="1256" w:type="dxa"/>
          </w:tcPr>
          <w:p w:rsidR="00CE3477" w:rsidRPr="003A124A" w:rsidRDefault="00CE3477" w:rsidP="00CE3477">
            <w:pPr>
              <w:spacing w:line="259" w:lineRule="auto"/>
              <w:jc w:val="center"/>
              <w:rPr>
                <w:rFonts w:ascii="Times New Roman" w:eastAsia="Calibri" w:hAnsi="Times New Roman" w:cs="Times New Roman"/>
                <w:sz w:val="20"/>
                <w:lang w:eastAsia="en-US"/>
              </w:rPr>
            </w:pPr>
            <w:r w:rsidRPr="003A124A">
              <w:rPr>
                <w:rFonts w:ascii="Times New Roman" w:eastAsia="Calibri" w:hAnsi="Times New Roman" w:cs="Times New Roman"/>
                <w:sz w:val="20"/>
                <w:lang w:eastAsia="en-US"/>
              </w:rPr>
              <w:t>Отчетный период</w:t>
            </w:r>
          </w:p>
        </w:tc>
        <w:tc>
          <w:tcPr>
            <w:tcW w:w="2821" w:type="dxa"/>
          </w:tcPr>
          <w:p w:rsidR="00CE3477" w:rsidRPr="003A124A" w:rsidRDefault="00CE3477" w:rsidP="00CE3477">
            <w:pPr>
              <w:spacing w:line="259" w:lineRule="auto"/>
              <w:jc w:val="both"/>
              <w:rPr>
                <w:rFonts w:ascii="Times New Roman" w:eastAsia="Calibri" w:hAnsi="Times New Roman" w:cs="Times New Roman"/>
                <w:sz w:val="20"/>
                <w:lang w:eastAsia="en-US"/>
              </w:rPr>
            </w:pPr>
            <w:r w:rsidRPr="003A124A">
              <w:rPr>
                <w:rFonts w:ascii="Times New Roman" w:eastAsia="Calibri" w:hAnsi="Times New Roman" w:cs="Times New Roman"/>
                <w:sz w:val="20"/>
                <w:lang w:eastAsia="en-US"/>
              </w:rPr>
              <w:t>Кол-во жалоб на нарушение процедуры торгов и порядка заключения договоров (ст.18.1)</w:t>
            </w:r>
          </w:p>
        </w:tc>
      </w:tr>
      <w:tr w:rsidR="00CE3477" w:rsidRPr="003A124A" w:rsidTr="00CE3477">
        <w:trPr>
          <w:trHeight w:val="318"/>
        </w:trPr>
        <w:tc>
          <w:tcPr>
            <w:tcW w:w="1256" w:type="dxa"/>
          </w:tcPr>
          <w:p w:rsidR="00CE3477" w:rsidRPr="003A124A" w:rsidRDefault="00CE3477" w:rsidP="00CE3477">
            <w:pPr>
              <w:spacing w:line="259" w:lineRule="auto"/>
              <w:jc w:val="center"/>
              <w:rPr>
                <w:rFonts w:ascii="Times New Roman" w:eastAsia="Calibri" w:hAnsi="Times New Roman" w:cs="Times New Roman"/>
                <w:sz w:val="20"/>
                <w:lang w:eastAsia="en-US"/>
              </w:rPr>
            </w:pPr>
            <w:r w:rsidRPr="003A124A">
              <w:rPr>
                <w:rFonts w:ascii="Times New Roman" w:eastAsia="Calibri" w:hAnsi="Times New Roman" w:cs="Times New Roman"/>
                <w:sz w:val="20"/>
                <w:lang w:eastAsia="en-US"/>
              </w:rPr>
              <w:t>2017 год</w:t>
            </w:r>
          </w:p>
        </w:tc>
        <w:tc>
          <w:tcPr>
            <w:tcW w:w="2821" w:type="dxa"/>
          </w:tcPr>
          <w:p w:rsidR="00CE3477" w:rsidRPr="003A124A" w:rsidRDefault="00CE3477" w:rsidP="00CE3477">
            <w:pPr>
              <w:spacing w:line="259" w:lineRule="auto"/>
              <w:jc w:val="center"/>
              <w:rPr>
                <w:rFonts w:ascii="Times New Roman" w:eastAsia="Calibri" w:hAnsi="Times New Roman" w:cs="Times New Roman"/>
                <w:sz w:val="20"/>
                <w:lang w:eastAsia="en-US"/>
              </w:rPr>
            </w:pPr>
            <w:r w:rsidRPr="003A124A">
              <w:rPr>
                <w:rFonts w:ascii="Times New Roman" w:eastAsia="Calibri" w:hAnsi="Times New Roman" w:cs="Times New Roman"/>
                <w:sz w:val="20"/>
                <w:lang w:eastAsia="en-US"/>
              </w:rPr>
              <w:t>31</w:t>
            </w:r>
          </w:p>
        </w:tc>
      </w:tr>
      <w:tr w:rsidR="00CE3477" w:rsidRPr="003A124A" w:rsidTr="00CE3477">
        <w:trPr>
          <w:trHeight w:val="68"/>
        </w:trPr>
        <w:tc>
          <w:tcPr>
            <w:tcW w:w="1256" w:type="dxa"/>
          </w:tcPr>
          <w:p w:rsidR="00CE3477" w:rsidRPr="003A124A" w:rsidRDefault="00CE3477" w:rsidP="00CE3477">
            <w:pPr>
              <w:spacing w:line="259" w:lineRule="auto"/>
              <w:jc w:val="center"/>
              <w:rPr>
                <w:rFonts w:ascii="Times New Roman" w:eastAsia="Calibri" w:hAnsi="Times New Roman" w:cs="Times New Roman"/>
                <w:sz w:val="20"/>
                <w:lang w:eastAsia="en-US"/>
              </w:rPr>
            </w:pPr>
            <w:r w:rsidRPr="003A124A">
              <w:rPr>
                <w:rFonts w:ascii="Times New Roman" w:eastAsia="Calibri" w:hAnsi="Times New Roman" w:cs="Times New Roman"/>
                <w:sz w:val="20"/>
                <w:lang w:eastAsia="en-US"/>
              </w:rPr>
              <w:t>2016 год</w:t>
            </w:r>
          </w:p>
        </w:tc>
        <w:tc>
          <w:tcPr>
            <w:tcW w:w="2821" w:type="dxa"/>
          </w:tcPr>
          <w:p w:rsidR="00CE3477" w:rsidRPr="003A124A" w:rsidRDefault="00CE3477" w:rsidP="00CE3477">
            <w:pPr>
              <w:spacing w:line="259" w:lineRule="auto"/>
              <w:jc w:val="center"/>
              <w:rPr>
                <w:rFonts w:ascii="Times New Roman" w:eastAsia="Calibri" w:hAnsi="Times New Roman" w:cs="Times New Roman"/>
                <w:sz w:val="20"/>
                <w:lang w:eastAsia="en-US"/>
              </w:rPr>
            </w:pPr>
            <w:r w:rsidRPr="003A124A">
              <w:rPr>
                <w:rFonts w:ascii="Times New Roman" w:eastAsia="Calibri" w:hAnsi="Times New Roman" w:cs="Times New Roman"/>
                <w:sz w:val="20"/>
                <w:lang w:eastAsia="en-US"/>
              </w:rPr>
              <w:t>24</w:t>
            </w:r>
          </w:p>
        </w:tc>
      </w:tr>
    </w:tbl>
    <w:p w:rsidR="00CE3477" w:rsidRPr="003A124A" w:rsidRDefault="00CE3477" w:rsidP="00FB1195">
      <w:pPr>
        <w:spacing w:after="0" w:line="240" w:lineRule="auto"/>
        <w:ind w:firstLine="708"/>
        <w:jc w:val="both"/>
        <w:rPr>
          <w:rFonts w:ascii="Times New Roman" w:eastAsia="Calibri" w:hAnsi="Times New Roman" w:cs="Times New Roman"/>
          <w:lang w:eastAsia="en-US"/>
        </w:rPr>
      </w:pPr>
    </w:p>
    <w:p w:rsidR="00CE3477" w:rsidRPr="003A124A" w:rsidRDefault="00CE3477" w:rsidP="00FB1195">
      <w:pPr>
        <w:spacing w:after="0" w:line="240" w:lineRule="auto"/>
        <w:ind w:firstLine="708"/>
        <w:jc w:val="both"/>
        <w:rPr>
          <w:rFonts w:ascii="Times New Roman" w:eastAsia="Calibri" w:hAnsi="Times New Roman" w:cs="Times New Roman"/>
          <w:lang w:eastAsia="en-US"/>
        </w:rPr>
      </w:pPr>
    </w:p>
    <w:p w:rsidR="00CE3477" w:rsidRPr="003A124A" w:rsidRDefault="00CE3477" w:rsidP="00FB1195">
      <w:pPr>
        <w:spacing w:after="0" w:line="240" w:lineRule="auto"/>
        <w:ind w:firstLine="708"/>
        <w:jc w:val="both"/>
        <w:rPr>
          <w:rFonts w:ascii="Times New Roman" w:eastAsia="Calibri" w:hAnsi="Times New Roman" w:cs="Times New Roman"/>
          <w:lang w:eastAsia="en-US"/>
        </w:rPr>
      </w:pPr>
    </w:p>
    <w:p w:rsidR="00CE3477" w:rsidRPr="003A124A" w:rsidRDefault="00CE3477" w:rsidP="00FB1195">
      <w:pPr>
        <w:spacing w:after="0" w:line="240" w:lineRule="auto"/>
        <w:ind w:firstLine="708"/>
        <w:jc w:val="both"/>
        <w:rPr>
          <w:rFonts w:ascii="Times New Roman" w:eastAsia="Calibri" w:hAnsi="Times New Roman" w:cs="Times New Roman"/>
          <w:lang w:eastAsia="en-US"/>
        </w:rPr>
      </w:pPr>
    </w:p>
    <w:p w:rsidR="00CE3477" w:rsidRPr="003A124A" w:rsidRDefault="00CE3477" w:rsidP="00FB1195">
      <w:pPr>
        <w:spacing w:after="0" w:line="240" w:lineRule="auto"/>
        <w:ind w:firstLine="708"/>
        <w:jc w:val="both"/>
        <w:rPr>
          <w:rFonts w:ascii="Times New Roman" w:eastAsia="Calibri" w:hAnsi="Times New Roman" w:cs="Times New Roman"/>
          <w:lang w:eastAsia="en-US"/>
        </w:rPr>
      </w:pPr>
    </w:p>
    <w:p w:rsidR="00CE3477" w:rsidRPr="003A124A" w:rsidRDefault="00CE3477" w:rsidP="00FB1195">
      <w:pPr>
        <w:spacing w:after="0" w:line="240" w:lineRule="auto"/>
        <w:ind w:firstLine="708"/>
        <w:jc w:val="both"/>
        <w:rPr>
          <w:rFonts w:ascii="Times New Roman" w:eastAsia="Calibri" w:hAnsi="Times New Roman" w:cs="Times New Roman"/>
          <w:lang w:eastAsia="en-US"/>
        </w:rPr>
      </w:pPr>
    </w:p>
    <w:p w:rsidR="00CE3477" w:rsidRPr="003A124A" w:rsidRDefault="00CE3477" w:rsidP="00FB1195">
      <w:pPr>
        <w:spacing w:after="0" w:line="240" w:lineRule="auto"/>
        <w:ind w:firstLine="708"/>
        <w:jc w:val="both"/>
        <w:rPr>
          <w:rFonts w:ascii="Times New Roman" w:eastAsia="Calibri" w:hAnsi="Times New Roman" w:cs="Times New Roman"/>
          <w:lang w:eastAsia="en-US"/>
        </w:rPr>
      </w:pPr>
    </w:p>
    <w:p w:rsidR="00CE3477" w:rsidRPr="003A124A" w:rsidRDefault="00CE3477" w:rsidP="00FB1195">
      <w:pPr>
        <w:spacing w:after="0" w:line="240" w:lineRule="auto"/>
        <w:ind w:firstLine="708"/>
        <w:jc w:val="both"/>
        <w:rPr>
          <w:rFonts w:ascii="Times New Roman" w:eastAsia="Calibri" w:hAnsi="Times New Roman" w:cs="Times New Roman"/>
          <w:lang w:eastAsia="en-US"/>
        </w:rPr>
      </w:pPr>
    </w:p>
    <w:p w:rsidR="000B7FE2" w:rsidRPr="00F6261A" w:rsidRDefault="00CE3477" w:rsidP="00FB1195">
      <w:pPr>
        <w:spacing w:after="0" w:line="240" w:lineRule="auto"/>
        <w:ind w:firstLine="708"/>
        <w:jc w:val="both"/>
        <w:rPr>
          <w:rFonts w:ascii="Times New Roman" w:eastAsia="Calibri" w:hAnsi="Times New Roman" w:cs="Times New Roman"/>
          <w:sz w:val="24"/>
          <w:lang w:eastAsia="en-US"/>
        </w:rPr>
      </w:pPr>
      <w:r w:rsidRPr="00F6261A">
        <w:rPr>
          <w:rFonts w:ascii="Times New Roman" w:eastAsia="Calibri" w:hAnsi="Times New Roman" w:cs="Times New Roman"/>
          <w:sz w:val="24"/>
          <w:lang w:eastAsia="en-US"/>
        </w:rPr>
        <w:t>За</w:t>
      </w:r>
      <w:r w:rsidR="000B7FE2" w:rsidRPr="00F6261A">
        <w:rPr>
          <w:rFonts w:ascii="Times New Roman" w:eastAsia="Calibri" w:hAnsi="Times New Roman" w:cs="Times New Roman"/>
          <w:sz w:val="24"/>
          <w:lang w:eastAsia="en-US"/>
        </w:rPr>
        <w:t xml:space="preserve"> отчетный период </w:t>
      </w:r>
      <w:r w:rsidR="00566CEB" w:rsidRPr="00F6261A">
        <w:rPr>
          <w:rFonts w:ascii="Times New Roman" w:eastAsia="Calibri" w:hAnsi="Times New Roman" w:cs="Times New Roman"/>
          <w:sz w:val="24"/>
          <w:lang w:eastAsia="en-US"/>
        </w:rPr>
        <w:t>рассмотрено</w:t>
      </w:r>
      <w:r w:rsidR="000B7FE2" w:rsidRPr="00F6261A">
        <w:rPr>
          <w:rFonts w:ascii="Times New Roman" w:eastAsia="Calibri" w:hAnsi="Times New Roman" w:cs="Times New Roman"/>
          <w:sz w:val="24"/>
          <w:lang w:eastAsia="en-US"/>
        </w:rPr>
        <w:t xml:space="preserve"> </w:t>
      </w:r>
      <w:r w:rsidR="0091473B">
        <w:rPr>
          <w:rFonts w:ascii="Times New Roman" w:eastAsia="Calibri" w:hAnsi="Times New Roman" w:cs="Times New Roman"/>
          <w:sz w:val="24"/>
          <w:lang w:eastAsia="en-US"/>
        </w:rPr>
        <w:t>39</w:t>
      </w:r>
      <w:r w:rsidR="000B7FE2" w:rsidRPr="00F6261A">
        <w:rPr>
          <w:rFonts w:ascii="Times New Roman" w:eastAsia="Calibri" w:hAnsi="Times New Roman" w:cs="Times New Roman"/>
          <w:sz w:val="24"/>
          <w:lang w:eastAsia="en-US"/>
        </w:rPr>
        <w:t xml:space="preserve"> заявлений в отношении сетевых организаций</w:t>
      </w:r>
      <w:r w:rsidR="00566CEB" w:rsidRPr="00F6261A">
        <w:rPr>
          <w:rFonts w:ascii="Times New Roman" w:eastAsia="Calibri" w:hAnsi="Times New Roman" w:cs="Times New Roman"/>
          <w:sz w:val="24"/>
          <w:lang w:eastAsia="en-US"/>
        </w:rPr>
        <w:t>.</w:t>
      </w:r>
      <w:r w:rsidR="00FB1195" w:rsidRPr="00F6261A">
        <w:rPr>
          <w:rFonts w:ascii="Times New Roman" w:eastAsia="Calibri" w:hAnsi="Times New Roman" w:cs="Times New Roman"/>
          <w:sz w:val="24"/>
          <w:lang w:eastAsia="en-US"/>
        </w:rPr>
        <w:t xml:space="preserve"> </w:t>
      </w:r>
    </w:p>
    <w:p w:rsidR="00DB3238" w:rsidRPr="00F6261A" w:rsidRDefault="00DB3238" w:rsidP="00750D28">
      <w:pPr>
        <w:spacing w:after="0" w:line="240" w:lineRule="auto"/>
        <w:ind w:firstLine="708"/>
        <w:jc w:val="both"/>
        <w:rPr>
          <w:rFonts w:ascii="Times New Roman" w:eastAsia="Calibri" w:hAnsi="Times New Roman" w:cs="Times New Roman"/>
          <w:sz w:val="24"/>
          <w:lang w:eastAsia="en-US"/>
        </w:rPr>
      </w:pPr>
    </w:p>
    <w:tbl>
      <w:tblPr>
        <w:tblStyle w:val="1"/>
        <w:tblpPr w:leftFromText="180" w:rightFromText="180" w:vertAnchor="text" w:horzAnchor="margin" w:tblpXSpec="center" w:tblpY="-91"/>
        <w:tblW w:w="4077" w:type="dxa"/>
        <w:tblLook w:val="04A0" w:firstRow="1" w:lastRow="0" w:firstColumn="1" w:lastColumn="0" w:noHBand="0" w:noVBand="1"/>
      </w:tblPr>
      <w:tblGrid>
        <w:gridCol w:w="1951"/>
        <w:gridCol w:w="2126"/>
      </w:tblGrid>
      <w:tr w:rsidR="00CE3477" w:rsidRPr="00F6261A" w:rsidTr="003A124A">
        <w:tc>
          <w:tcPr>
            <w:tcW w:w="1951" w:type="dxa"/>
          </w:tcPr>
          <w:p w:rsidR="00CE3477" w:rsidRPr="00F6261A" w:rsidRDefault="00CE3477" w:rsidP="003A124A">
            <w:pPr>
              <w:rPr>
                <w:rFonts w:ascii="Times New Roman" w:eastAsia="Times New Roman" w:hAnsi="Times New Roman" w:cs="Times New Roman"/>
                <w:sz w:val="20"/>
              </w:rPr>
            </w:pPr>
            <w:r w:rsidRPr="00F6261A">
              <w:rPr>
                <w:rFonts w:ascii="Times New Roman" w:eastAsia="Times New Roman" w:hAnsi="Times New Roman" w:cs="Times New Roman"/>
                <w:sz w:val="20"/>
              </w:rPr>
              <w:t>АО «ЛГЭК»</w:t>
            </w:r>
          </w:p>
        </w:tc>
        <w:tc>
          <w:tcPr>
            <w:tcW w:w="2126" w:type="dxa"/>
          </w:tcPr>
          <w:p w:rsidR="00CE3477" w:rsidRPr="00F6261A" w:rsidRDefault="00CE3477" w:rsidP="003A124A">
            <w:pPr>
              <w:rPr>
                <w:rFonts w:ascii="Times New Roman" w:eastAsia="Times New Roman" w:hAnsi="Times New Roman" w:cs="Times New Roman"/>
                <w:sz w:val="20"/>
              </w:rPr>
            </w:pPr>
            <w:r w:rsidRPr="00F6261A">
              <w:rPr>
                <w:rFonts w:ascii="Times New Roman" w:eastAsia="Times New Roman" w:hAnsi="Times New Roman" w:cs="Times New Roman"/>
                <w:sz w:val="20"/>
              </w:rPr>
              <w:t>Фил-л ПАО «</w:t>
            </w:r>
            <w:proofErr w:type="spellStart"/>
            <w:r w:rsidRPr="00F6261A">
              <w:rPr>
                <w:rFonts w:ascii="Times New Roman" w:eastAsia="Times New Roman" w:hAnsi="Times New Roman" w:cs="Times New Roman"/>
                <w:sz w:val="20"/>
              </w:rPr>
              <w:t>Квадра</w:t>
            </w:r>
            <w:proofErr w:type="spellEnd"/>
            <w:r w:rsidRPr="00F6261A">
              <w:rPr>
                <w:rFonts w:ascii="Times New Roman" w:eastAsia="Times New Roman" w:hAnsi="Times New Roman" w:cs="Times New Roman"/>
                <w:sz w:val="20"/>
              </w:rPr>
              <w:t>»</w:t>
            </w:r>
          </w:p>
        </w:tc>
      </w:tr>
      <w:tr w:rsidR="00CE3477" w:rsidRPr="00F6261A" w:rsidTr="003A124A">
        <w:tc>
          <w:tcPr>
            <w:tcW w:w="1951" w:type="dxa"/>
          </w:tcPr>
          <w:p w:rsidR="00CE3477" w:rsidRPr="00F6261A" w:rsidRDefault="00CE3477" w:rsidP="003A124A">
            <w:pPr>
              <w:rPr>
                <w:rFonts w:ascii="Times New Roman" w:eastAsia="Times New Roman" w:hAnsi="Times New Roman" w:cs="Times New Roman"/>
                <w:sz w:val="20"/>
              </w:rPr>
            </w:pPr>
            <w:r w:rsidRPr="00F6261A">
              <w:rPr>
                <w:rFonts w:ascii="Times New Roman" w:eastAsia="Times New Roman" w:hAnsi="Times New Roman" w:cs="Times New Roman"/>
                <w:sz w:val="20"/>
              </w:rPr>
              <w:t>36 заявлений</w:t>
            </w:r>
          </w:p>
        </w:tc>
        <w:tc>
          <w:tcPr>
            <w:tcW w:w="2126" w:type="dxa"/>
          </w:tcPr>
          <w:p w:rsidR="00CE3477" w:rsidRPr="00F6261A" w:rsidRDefault="0091473B" w:rsidP="0091473B">
            <w:pPr>
              <w:rPr>
                <w:rFonts w:ascii="Times New Roman" w:eastAsia="Times New Roman" w:hAnsi="Times New Roman" w:cs="Times New Roman"/>
                <w:sz w:val="20"/>
              </w:rPr>
            </w:pPr>
            <w:r>
              <w:rPr>
                <w:rFonts w:ascii="Times New Roman" w:eastAsia="Times New Roman" w:hAnsi="Times New Roman" w:cs="Times New Roman"/>
                <w:sz w:val="20"/>
              </w:rPr>
              <w:t>3</w:t>
            </w:r>
            <w:r w:rsidR="00CE3477" w:rsidRPr="00F6261A">
              <w:rPr>
                <w:rFonts w:ascii="Times New Roman" w:eastAsia="Times New Roman" w:hAnsi="Times New Roman" w:cs="Times New Roman"/>
                <w:sz w:val="20"/>
              </w:rPr>
              <w:t xml:space="preserve"> заявлени</w:t>
            </w:r>
            <w:r>
              <w:rPr>
                <w:rFonts w:ascii="Times New Roman" w:eastAsia="Times New Roman" w:hAnsi="Times New Roman" w:cs="Times New Roman"/>
                <w:sz w:val="20"/>
              </w:rPr>
              <w:t>я</w:t>
            </w:r>
          </w:p>
        </w:tc>
      </w:tr>
      <w:tr w:rsidR="00CE3477" w:rsidRPr="003A124A" w:rsidTr="003A124A">
        <w:tc>
          <w:tcPr>
            <w:tcW w:w="1951" w:type="dxa"/>
          </w:tcPr>
          <w:p w:rsidR="00CE3477" w:rsidRPr="00F6261A" w:rsidRDefault="00CE3477" w:rsidP="003A124A">
            <w:pPr>
              <w:rPr>
                <w:rFonts w:ascii="Times New Roman" w:eastAsia="Times New Roman" w:hAnsi="Times New Roman" w:cs="Times New Roman"/>
                <w:sz w:val="20"/>
              </w:rPr>
            </w:pPr>
            <w:r w:rsidRPr="00F6261A">
              <w:rPr>
                <w:rFonts w:ascii="Times New Roman" w:eastAsia="Times New Roman" w:hAnsi="Times New Roman" w:cs="Times New Roman"/>
                <w:sz w:val="20"/>
              </w:rPr>
              <w:t>Вынесено  9 постановлений на общую сумму 4 500 000 рублей</w:t>
            </w:r>
          </w:p>
        </w:tc>
        <w:tc>
          <w:tcPr>
            <w:tcW w:w="2126" w:type="dxa"/>
          </w:tcPr>
          <w:p w:rsidR="00CE3477" w:rsidRPr="003A124A" w:rsidRDefault="00CE3477" w:rsidP="003A124A">
            <w:pPr>
              <w:rPr>
                <w:rFonts w:ascii="Times New Roman" w:eastAsia="Times New Roman" w:hAnsi="Times New Roman" w:cs="Times New Roman"/>
                <w:sz w:val="20"/>
              </w:rPr>
            </w:pPr>
            <w:r w:rsidRPr="00F6261A">
              <w:rPr>
                <w:rFonts w:ascii="Times New Roman" w:eastAsia="Times New Roman" w:hAnsi="Times New Roman" w:cs="Times New Roman"/>
                <w:sz w:val="20"/>
              </w:rPr>
              <w:t>Вынесено 2 постановления на общую сумму 100 000 рублей, 1 дело об административном правонарушении прекращено.</w:t>
            </w:r>
            <w:r w:rsidRPr="003A124A">
              <w:rPr>
                <w:rFonts w:ascii="Times New Roman" w:eastAsia="Times New Roman" w:hAnsi="Times New Roman" w:cs="Times New Roman"/>
                <w:sz w:val="20"/>
              </w:rPr>
              <w:t xml:space="preserve"> </w:t>
            </w:r>
          </w:p>
        </w:tc>
      </w:tr>
    </w:tbl>
    <w:p w:rsidR="00CE3477" w:rsidRPr="003A124A" w:rsidRDefault="00CE3477" w:rsidP="00750D28">
      <w:pPr>
        <w:spacing w:after="0" w:line="240" w:lineRule="auto"/>
        <w:ind w:firstLine="708"/>
        <w:jc w:val="both"/>
        <w:rPr>
          <w:rFonts w:ascii="Times New Roman" w:eastAsia="Calibri" w:hAnsi="Times New Roman" w:cs="Times New Roman"/>
          <w:iCs/>
          <w:lang w:eastAsia="en-US"/>
        </w:rPr>
      </w:pPr>
    </w:p>
    <w:p w:rsidR="00CE3477" w:rsidRPr="003A124A" w:rsidRDefault="00CE3477" w:rsidP="00750D28">
      <w:pPr>
        <w:spacing w:after="0" w:line="240" w:lineRule="auto"/>
        <w:ind w:firstLine="708"/>
        <w:jc w:val="both"/>
        <w:rPr>
          <w:rFonts w:ascii="Times New Roman" w:eastAsia="Calibri" w:hAnsi="Times New Roman" w:cs="Times New Roman"/>
          <w:iCs/>
          <w:lang w:eastAsia="en-US"/>
        </w:rPr>
      </w:pPr>
    </w:p>
    <w:p w:rsidR="00CE3477" w:rsidRPr="003A124A" w:rsidRDefault="00CE3477" w:rsidP="00750D28">
      <w:pPr>
        <w:spacing w:after="0" w:line="240" w:lineRule="auto"/>
        <w:ind w:firstLine="708"/>
        <w:jc w:val="both"/>
        <w:rPr>
          <w:rFonts w:ascii="Times New Roman" w:eastAsia="Calibri" w:hAnsi="Times New Roman" w:cs="Times New Roman"/>
          <w:iCs/>
          <w:lang w:eastAsia="en-US"/>
        </w:rPr>
      </w:pPr>
    </w:p>
    <w:p w:rsidR="00CE3477" w:rsidRPr="003A124A" w:rsidRDefault="00CE3477" w:rsidP="00750D28">
      <w:pPr>
        <w:spacing w:after="0" w:line="240" w:lineRule="auto"/>
        <w:ind w:firstLine="708"/>
        <w:jc w:val="both"/>
        <w:rPr>
          <w:rFonts w:ascii="Times New Roman" w:eastAsia="Calibri" w:hAnsi="Times New Roman" w:cs="Times New Roman"/>
          <w:iCs/>
          <w:lang w:eastAsia="en-US"/>
        </w:rPr>
      </w:pPr>
    </w:p>
    <w:p w:rsidR="00CE3477" w:rsidRPr="003A124A" w:rsidRDefault="00CE3477" w:rsidP="00750D28">
      <w:pPr>
        <w:spacing w:after="0" w:line="240" w:lineRule="auto"/>
        <w:ind w:firstLine="708"/>
        <w:jc w:val="both"/>
        <w:rPr>
          <w:rFonts w:ascii="Times New Roman" w:eastAsia="Calibri" w:hAnsi="Times New Roman" w:cs="Times New Roman"/>
          <w:iCs/>
          <w:lang w:eastAsia="en-US"/>
        </w:rPr>
      </w:pPr>
    </w:p>
    <w:p w:rsidR="00CE3477" w:rsidRPr="003A124A" w:rsidRDefault="00CE3477" w:rsidP="00750D28">
      <w:pPr>
        <w:spacing w:after="0" w:line="240" w:lineRule="auto"/>
        <w:ind w:firstLine="708"/>
        <w:jc w:val="both"/>
        <w:rPr>
          <w:rFonts w:ascii="Times New Roman" w:eastAsia="Calibri" w:hAnsi="Times New Roman" w:cs="Times New Roman"/>
          <w:iCs/>
          <w:lang w:eastAsia="en-US"/>
        </w:rPr>
      </w:pPr>
    </w:p>
    <w:p w:rsidR="00CE3477" w:rsidRPr="003A124A" w:rsidRDefault="00CE3477" w:rsidP="00750D28">
      <w:pPr>
        <w:spacing w:after="0" w:line="240" w:lineRule="auto"/>
        <w:ind w:firstLine="708"/>
        <w:jc w:val="both"/>
        <w:rPr>
          <w:rFonts w:ascii="Times New Roman" w:eastAsia="Calibri" w:hAnsi="Times New Roman" w:cs="Times New Roman"/>
          <w:iCs/>
          <w:lang w:eastAsia="en-US"/>
        </w:rPr>
      </w:pPr>
    </w:p>
    <w:p w:rsidR="00CE3477" w:rsidRPr="003A124A" w:rsidRDefault="00CE3477" w:rsidP="00750D28">
      <w:pPr>
        <w:spacing w:after="0" w:line="240" w:lineRule="auto"/>
        <w:ind w:firstLine="708"/>
        <w:jc w:val="both"/>
        <w:rPr>
          <w:rFonts w:ascii="Times New Roman" w:eastAsia="Calibri" w:hAnsi="Times New Roman" w:cs="Times New Roman"/>
          <w:iCs/>
          <w:lang w:eastAsia="en-US"/>
        </w:rPr>
      </w:pPr>
    </w:p>
    <w:p w:rsidR="003A124A" w:rsidRDefault="003A124A" w:rsidP="00CE3477">
      <w:pPr>
        <w:spacing w:after="0" w:line="240" w:lineRule="auto"/>
        <w:ind w:firstLine="708"/>
        <w:jc w:val="both"/>
        <w:rPr>
          <w:rFonts w:ascii="Times New Roman" w:eastAsia="Calibri" w:hAnsi="Times New Roman" w:cs="Times New Roman"/>
          <w:lang w:eastAsia="en-US"/>
        </w:rPr>
      </w:pPr>
    </w:p>
    <w:p w:rsidR="00750D28" w:rsidRPr="003A124A" w:rsidRDefault="00750D28" w:rsidP="00CE3477">
      <w:pPr>
        <w:spacing w:after="0" w:line="240" w:lineRule="auto"/>
        <w:ind w:firstLine="708"/>
        <w:jc w:val="both"/>
        <w:rPr>
          <w:rFonts w:ascii="Times New Roman" w:eastAsia="Times New Roman" w:hAnsi="Times New Roman" w:cs="Times New Roman"/>
          <w:sz w:val="24"/>
        </w:rPr>
      </w:pPr>
      <w:r w:rsidRPr="003A124A">
        <w:rPr>
          <w:rFonts w:ascii="Times New Roman" w:eastAsia="Calibri" w:hAnsi="Times New Roman" w:cs="Times New Roman"/>
          <w:sz w:val="24"/>
          <w:lang w:eastAsia="en-US"/>
        </w:rPr>
        <w:t xml:space="preserve">Уменьшилось количество рассмотренных ходатайств, в рамках государственного контроля за экономической ситуацией (сделки совершались внутри группы лиц): </w:t>
      </w:r>
    </w:p>
    <w:p w:rsidR="00750D28" w:rsidRPr="003A124A" w:rsidRDefault="00750D28" w:rsidP="00750D28">
      <w:pPr>
        <w:spacing w:after="0" w:line="240" w:lineRule="auto"/>
        <w:rPr>
          <w:rFonts w:ascii="Times New Roman" w:eastAsia="Calibri" w:hAnsi="Times New Roman" w:cs="Times New Roman"/>
          <w:sz w:val="24"/>
          <w:lang w:eastAsia="en-US"/>
        </w:rPr>
      </w:pPr>
      <w:r w:rsidRPr="003A124A">
        <w:rPr>
          <w:rFonts w:ascii="Times New Roman" w:eastAsia="Calibri" w:hAnsi="Times New Roman" w:cs="Times New Roman"/>
          <w:iCs/>
          <w:sz w:val="24"/>
          <w:lang w:eastAsia="en-US"/>
        </w:rPr>
        <w:t>С начала 2017 г. – 3;</w:t>
      </w:r>
      <w:r w:rsidRPr="003A124A">
        <w:rPr>
          <w:rFonts w:ascii="Times New Roman" w:eastAsia="Calibri" w:hAnsi="Times New Roman" w:cs="Times New Roman"/>
          <w:iCs/>
          <w:sz w:val="24"/>
          <w:lang w:eastAsia="en-US"/>
        </w:rPr>
        <w:br/>
        <w:t>В аналогичном периоде 2016г. – 7.</w:t>
      </w:r>
      <w:r w:rsidRPr="003A124A">
        <w:rPr>
          <w:rFonts w:ascii="Times New Roman" w:eastAsia="Calibri" w:hAnsi="Times New Roman" w:cs="Times New Roman"/>
          <w:sz w:val="24"/>
          <w:lang w:eastAsia="en-US"/>
        </w:rPr>
        <w:t xml:space="preserve"> </w:t>
      </w:r>
    </w:p>
    <w:p w:rsidR="004979B8" w:rsidRPr="003A124A" w:rsidRDefault="004979B8" w:rsidP="00750D28">
      <w:pPr>
        <w:spacing w:after="0" w:line="240" w:lineRule="auto"/>
        <w:rPr>
          <w:rFonts w:ascii="Times New Roman" w:eastAsia="Calibri" w:hAnsi="Times New Roman" w:cs="Times New Roman"/>
          <w:sz w:val="24"/>
          <w:lang w:eastAsia="en-US"/>
        </w:rPr>
      </w:pPr>
    </w:p>
    <w:p w:rsidR="00750D28" w:rsidRPr="003A124A" w:rsidRDefault="00750D28" w:rsidP="00DB3238">
      <w:pPr>
        <w:spacing w:after="0" w:line="240" w:lineRule="auto"/>
        <w:jc w:val="both"/>
        <w:rPr>
          <w:rFonts w:ascii="Times New Roman" w:eastAsia="Calibri" w:hAnsi="Times New Roman" w:cs="Times New Roman"/>
          <w:sz w:val="24"/>
        </w:rPr>
      </w:pPr>
      <w:r w:rsidRPr="003A124A">
        <w:rPr>
          <w:rFonts w:ascii="Times New Roman" w:eastAsia="Calibri" w:hAnsi="Times New Roman" w:cs="Times New Roman"/>
          <w:sz w:val="24"/>
        </w:rPr>
        <w:t xml:space="preserve"> </w:t>
      </w:r>
      <w:r w:rsidRPr="003A124A">
        <w:rPr>
          <w:rFonts w:ascii="Times New Roman" w:eastAsia="Calibri" w:hAnsi="Times New Roman" w:cs="Times New Roman"/>
          <w:sz w:val="24"/>
        </w:rPr>
        <w:tab/>
      </w:r>
      <w:r w:rsidR="00B6311F">
        <w:rPr>
          <w:rFonts w:ascii="Times New Roman" w:eastAsia="Calibri" w:hAnsi="Times New Roman" w:cs="Times New Roman"/>
          <w:sz w:val="24"/>
        </w:rPr>
        <w:t xml:space="preserve">Во исполнение </w:t>
      </w:r>
      <w:r w:rsidR="00AF0DCD" w:rsidRPr="003A124A">
        <w:rPr>
          <w:rFonts w:ascii="Times New Roman" w:eastAsia="Calibri" w:hAnsi="Times New Roman" w:cs="Times New Roman"/>
          <w:sz w:val="24"/>
        </w:rPr>
        <w:t xml:space="preserve">Плана ФАС России </w:t>
      </w:r>
      <w:r w:rsidRPr="003A124A">
        <w:rPr>
          <w:rFonts w:ascii="Times New Roman" w:eastAsia="Calibri" w:hAnsi="Times New Roman" w:cs="Times New Roman"/>
          <w:sz w:val="24"/>
        </w:rPr>
        <w:t>Управлением проведен</w:t>
      </w:r>
      <w:r w:rsidR="00AF0DCD" w:rsidRPr="003A124A">
        <w:rPr>
          <w:rFonts w:ascii="Times New Roman" w:eastAsia="Calibri" w:hAnsi="Times New Roman" w:cs="Times New Roman"/>
          <w:sz w:val="24"/>
        </w:rPr>
        <w:t>ы</w:t>
      </w:r>
      <w:r w:rsidRPr="003A124A">
        <w:rPr>
          <w:rFonts w:ascii="Times New Roman" w:eastAsia="Calibri" w:hAnsi="Times New Roman" w:cs="Times New Roman"/>
          <w:sz w:val="24"/>
        </w:rPr>
        <w:t xml:space="preserve"> анали</w:t>
      </w:r>
      <w:r w:rsidR="00AF0DCD" w:rsidRPr="003A124A">
        <w:rPr>
          <w:rFonts w:ascii="Times New Roman" w:eastAsia="Calibri" w:hAnsi="Times New Roman" w:cs="Times New Roman"/>
          <w:sz w:val="24"/>
        </w:rPr>
        <w:t>зы</w:t>
      </w:r>
      <w:r w:rsidRPr="003A124A">
        <w:rPr>
          <w:rFonts w:ascii="Times New Roman" w:eastAsia="Calibri" w:hAnsi="Times New Roman" w:cs="Times New Roman"/>
          <w:sz w:val="24"/>
        </w:rPr>
        <w:t xml:space="preserve"> состояния конкуренции на рынках розничной и мелкооптовой реализации автомобильных бензинов </w:t>
      </w:r>
      <w:r w:rsidR="00B6311F">
        <w:rPr>
          <w:rFonts w:ascii="Times New Roman" w:eastAsia="Calibri" w:hAnsi="Times New Roman" w:cs="Times New Roman"/>
          <w:sz w:val="24"/>
        </w:rPr>
        <w:t xml:space="preserve"> и </w:t>
      </w:r>
      <w:r w:rsidR="00AF0DCD" w:rsidRPr="003A124A">
        <w:rPr>
          <w:rFonts w:ascii="Times New Roman" w:eastAsia="Calibri" w:hAnsi="Times New Roman" w:cs="Times New Roman"/>
          <w:sz w:val="24"/>
        </w:rPr>
        <w:t>дизельного топлива</w:t>
      </w:r>
      <w:r w:rsidRPr="003A124A">
        <w:rPr>
          <w:rFonts w:ascii="Times New Roman" w:eastAsia="Calibri" w:hAnsi="Times New Roman" w:cs="Times New Roman"/>
          <w:sz w:val="24"/>
        </w:rPr>
        <w:t xml:space="preserve">, </w:t>
      </w:r>
      <w:r w:rsidR="00B6311F">
        <w:rPr>
          <w:rFonts w:ascii="Times New Roman" w:eastAsia="Calibri" w:hAnsi="Times New Roman" w:cs="Times New Roman"/>
          <w:sz w:val="24"/>
        </w:rPr>
        <w:t xml:space="preserve">на </w:t>
      </w:r>
      <w:r w:rsidRPr="003A124A">
        <w:rPr>
          <w:rFonts w:ascii="Times New Roman" w:eastAsia="Calibri" w:hAnsi="Times New Roman" w:cs="Times New Roman"/>
          <w:sz w:val="24"/>
        </w:rPr>
        <w:t>рын</w:t>
      </w:r>
      <w:r w:rsidR="00B6311F">
        <w:rPr>
          <w:rFonts w:ascii="Times New Roman" w:eastAsia="Calibri" w:hAnsi="Times New Roman" w:cs="Times New Roman"/>
          <w:sz w:val="24"/>
        </w:rPr>
        <w:t>ке</w:t>
      </w:r>
      <w:r w:rsidRPr="003A124A">
        <w:rPr>
          <w:rFonts w:ascii="Times New Roman" w:eastAsia="Calibri" w:hAnsi="Times New Roman" w:cs="Times New Roman"/>
          <w:sz w:val="24"/>
        </w:rPr>
        <w:t xml:space="preserve"> услуг по сбору и транспортированию твердых коммунальных отходов, </w:t>
      </w:r>
      <w:r w:rsidR="00B6311F">
        <w:rPr>
          <w:rFonts w:ascii="Times New Roman" w:eastAsia="Calibri" w:hAnsi="Times New Roman" w:cs="Times New Roman"/>
          <w:sz w:val="24"/>
        </w:rPr>
        <w:t xml:space="preserve">анализировался </w:t>
      </w:r>
      <w:r w:rsidRPr="003A124A">
        <w:rPr>
          <w:rFonts w:ascii="Times New Roman" w:eastAsia="Calibri" w:hAnsi="Times New Roman" w:cs="Times New Roman"/>
          <w:sz w:val="24"/>
        </w:rPr>
        <w:t>рынок услуг по начислению платежей от населения на жилищно-коммунальные услуги. В настоящее время проводится анализ рынка работ по строительству (реконструкции) автомобильных дорог регионального значения.</w:t>
      </w:r>
      <w:r w:rsidR="004A3997" w:rsidRPr="003A124A">
        <w:rPr>
          <w:sz w:val="24"/>
        </w:rPr>
        <w:t xml:space="preserve"> </w:t>
      </w:r>
      <w:r w:rsidR="004A3997" w:rsidRPr="003A124A">
        <w:rPr>
          <w:rFonts w:ascii="Times New Roman" w:eastAsia="Calibri" w:hAnsi="Times New Roman" w:cs="Times New Roman"/>
          <w:sz w:val="24"/>
        </w:rPr>
        <w:t xml:space="preserve">Кроме того, проводится еженедельный мониторинг цен на </w:t>
      </w:r>
      <w:r w:rsidR="00440CAF">
        <w:rPr>
          <w:rFonts w:ascii="Times New Roman" w:eastAsia="Calibri" w:hAnsi="Times New Roman" w:cs="Times New Roman"/>
          <w:sz w:val="24"/>
        </w:rPr>
        <w:t>бензин и дизельное топливо</w:t>
      </w:r>
      <w:r w:rsidR="004A3997" w:rsidRPr="003A124A">
        <w:rPr>
          <w:rFonts w:ascii="Times New Roman" w:eastAsia="Calibri" w:hAnsi="Times New Roman" w:cs="Times New Roman"/>
          <w:sz w:val="24"/>
        </w:rPr>
        <w:t>.</w:t>
      </w:r>
    </w:p>
    <w:p w:rsidR="004A3997" w:rsidRPr="003A124A" w:rsidRDefault="004A3997" w:rsidP="00750D28">
      <w:pPr>
        <w:spacing w:after="0" w:line="240" w:lineRule="auto"/>
        <w:jc w:val="both"/>
        <w:rPr>
          <w:rFonts w:ascii="Times New Roman" w:eastAsia="Calibri" w:hAnsi="Times New Roman" w:cs="Times New Roman"/>
        </w:rPr>
      </w:pPr>
    </w:p>
    <w:p w:rsidR="004A3997" w:rsidRPr="003A124A" w:rsidRDefault="004A3997" w:rsidP="004A3997">
      <w:pPr>
        <w:spacing w:after="0" w:line="240" w:lineRule="auto"/>
        <w:jc w:val="center"/>
        <w:rPr>
          <w:rFonts w:ascii="Times New Roman" w:eastAsia="Calibri" w:hAnsi="Times New Roman" w:cs="Times New Roman"/>
          <w:b/>
          <w:i/>
          <w:sz w:val="24"/>
        </w:rPr>
      </w:pPr>
      <w:r w:rsidRPr="003A124A">
        <w:rPr>
          <w:rFonts w:ascii="Times New Roman" w:eastAsia="Calibri" w:hAnsi="Times New Roman" w:cs="Times New Roman"/>
          <w:b/>
          <w:i/>
          <w:sz w:val="24"/>
        </w:rPr>
        <w:t>О состоянии конкурентной среды</w:t>
      </w:r>
    </w:p>
    <w:p w:rsidR="004A3997" w:rsidRPr="003A124A" w:rsidRDefault="004A3997" w:rsidP="004A3997">
      <w:pPr>
        <w:spacing w:after="0" w:line="240" w:lineRule="auto"/>
        <w:jc w:val="center"/>
        <w:rPr>
          <w:rFonts w:ascii="Times New Roman" w:eastAsia="Calibri" w:hAnsi="Times New Roman" w:cs="Times New Roman"/>
          <w:b/>
          <w:i/>
          <w:sz w:val="24"/>
        </w:rPr>
      </w:pPr>
      <w:r w:rsidRPr="003A124A">
        <w:rPr>
          <w:rFonts w:ascii="Times New Roman" w:eastAsia="Calibri" w:hAnsi="Times New Roman" w:cs="Times New Roman"/>
          <w:b/>
          <w:i/>
          <w:sz w:val="24"/>
        </w:rPr>
        <w:t>на розничных рынках автомобильных бензинов</w:t>
      </w:r>
    </w:p>
    <w:p w:rsidR="004A3997" w:rsidRPr="003A124A" w:rsidRDefault="004A3997" w:rsidP="004A3997">
      <w:pPr>
        <w:spacing w:after="0" w:line="240" w:lineRule="auto"/>
        <w:jc w:val="both"/>
        <w:rPr>
          <w:rFonts w:ascii="Times New Roman" w:eastAsia="Calibri" w:hAnsi="Times New Roman" w:cs="Times New Roman"/>
          <w:sz w:val="24"/>
        </w:rPr>
      </w:pPr>
    </w:p>
    <w:p w:rsidR="004A3997" w:rsidRPr="003A124A" w:rsidRDefault="004A3997" w:rsidP="004A3997">
      <w:pPr>
        <w:spacing w:after="0" w:line="240" w:lineRule="auto"/>
        <w:ind w:firstLine="708"/>
        <w:jc w:val="both"/>
        <w:rPr>
          <w:rFonts w:ascii="Times New Roman" w:eastAsia="Calibri" w:hAnsi="Times New Roman" w:cs="Times New Roman"/>
          <w:sz w:val="24"/>
        </w:rPr>
      </w:pPr>
      <w:r w:rsidRPr="003A124A">
        <w:rPr>
          <w:rFonts w:ascii="Times New Roman" w:eastAsia="Calibri" w:hAnsi="Times New Roman" w:cs="Times New Roman"/>
          <w:sz w:val="24"/>
        </w:rPr>
        <w:t>На территории региона наиболее крупными хозяйствующими субъектами, осуществляющими реализацию нефтепродуктов в розницу, являются: вертикально-интегрированная компания АО «</w:t>
      </w:r>
      <w:proofErr w:type="spellStart"/>
      <w:r w:rsidRPr="003A124A">
        <w:rPr>
          <w:rFonts w:ascii="Times New Roman" w:eastAsia="Calibri" w:hAnsi="Times New Roman" w:cs="Times New Roman"/>
          <w:sz w:val="24"/>
        </w:rPr>
        <w:t>Липецкнефтепродукт</w:t>
      </w:r>
      <w:proofErr w:type="spellEnd"/>
      <w:r w:rsidRPr="003A124A">
        <w:rPr>
          <w:rFonts w:ascii="Times New Roman" w:eastAsia="Calibri" w:hAnsi="Times New Roman" w:cs="Times New Roman"/>
          <w:sz w:val="24"/>
        </w:rPr>
        <w:t xml:space="preserve">» (ПАО «НК «Роснефть»), ООО «Лукойл – </w:t>
      </w:r>
      <w:proofErr w:type="spellStart"/>
      <w:r w:rsidRPr="003A124A">
        <w:rPr>
          <w:rFonts w:ascii="Times New Roman" w:eastAsia="Calibri" w:hAnsi="Times New Roman" w:cs="Times New Roman"/>
          <w:sz w:val="24"/>
        </w:rPr>
        <w:lastRenderedPageBreak/>
        <w:t>Черноземьенефтепродукт</w:t>
      </w:r>
      <w:proofErr w:type="spellEnd"/>
      <w:r w:rsidRPr="003A124A">
        <w:rPr>
          <w:rFonts w:ascii="Times New Roman" w:eastAsia="Calibri" w:hAnsi="Times New Roman" w:cs="Times New Roman"/>
          <w:sz w:val="24"/>
        </w:rPr>
        <w:t>» (ПАО «НК «Лукойл»), ООО «</w:t>
      </w:r>
      <w:proofErr w:type="spellStart"/>
      <w:r w:rsidRPr="003A124A">
        <w:rPr>
          <w:rFonts w:ascii="Times New Roman" w:eastAsia="Calibri" w:hAnsi="Times New Roman" w:cs="Times New Roman"/>
          <w:sz w:val="24"/>
        </w:rPr>
        <w:t>Газэнергосеть</w:t>
      </w:r>
      <w:proofErr w:type="spellEnd"/>
      <w:r w:rsidRPr="003A124A">
        <w:rPr>
          <w:rFonts w:ascii="Times New Roman" w:eastAsia="Calibri" w:hAnsi="Times New Roman" w:cs="Times New Roman"/>
          <w:sz w:val="24"/>
        </w:rPr>
        <w:t xml:space="preserve"> розница» (ПАО «Газпром») и независимая компания                             ООО «Предприятие «Управляющая компания». Наличие у данных компаний максимального количества АЗС позволяет осуществлять реализацию нефтепродуктов практически во всех районах области и, соответственно, определять ценовую политику на территории области.</w:t>
      </w:r>
    </w:p>
    <w:p w:rsidR="004A3997" w:rsidRPr="003A124A" w:rsidRDefault="004A3997" w:rsidP="001B5FBC">
      <w:pPr>
        <w:spacing w:after="0" w:line="240" w:lineRule="auto"/>
        <w:ind w:firstLine="708"/>
        <w:jc w:val="both"/>
        <w:rPr>
          <w:rFonts w:ascii="Times New Roman" w:eastAsia="Calibri" w:hAnsi="Times New Roman" w:cs="Times New Roman"/>
          <w:sz w:val="24"/>
        </w:rPr>
      </w:pPr>
      <w:r w:rsidRPr="003A124A">
        <w:rPr>
          <w:rFonts w:ascii="Times New Roman" w:eastAsia="Calibri" w:hAnsi="Times New Roman" w:cs="Times New Roman"/>
          <w:sz w:val="24"/>
        </w:rPr>
        <w:t>Показатели рыночной концентрации товарного рынка за 2016 год, позволяют отнести рынок розничной реализации автомобильных бензинов к типу высококонцентрированных рынков с недостаточно развитой конкурентной средой.</w:t>
      </w:r>
    </w:p>
    <w:p w:rsidR="004A3997" w:rsidRPr="003A124A" w:rsidRDefault="004A3997" w:rsidP="001B5FBC">
      <w:pPr>
        <w:spacing w:after="0" w:line="240" w:lineRule="auto"/>
        <w:ind w:firstLine="708"/>
        <w:jc w:val="both"/>
        <w:rPr>
          <w:rFonts w:ascii="Times New Roman" w:eastAsia="Calibri" w:hAnsi="Times New Roman" w:cs="Times New Roman"/>
          <w:sz w:val="24"/>
        </w:rPr>
      </w:pPr>
      <w:r w:rsidRPr="003A124A">
        <w:rPr>
          <w:rFonts w:ascii="Times New Roman" w:eastAsia="Calibri" w:hAnsi="Times New Roman" w:cs="Times New Roman"/>
          <w:sz w:val="24"/>
        </w:rPr>
        <w:t>Также стоит отметить, что существуют труднопреодолимые барьеры в виде экономических ограничений и наличия на розничных рынках автомобильных бензинов ВИНК, которые существенно снижают возможность входа на рынок новых хозяйствующих субъектов.</w:t>
      </w:r>
    </w:p>
    <w:p w:rsidR="004A3997" w:rsidRPr="003A124A" w:rsidRDefault="004A3997" w:rsidP="001B5FBC">
      <w:pPr>
        <w:spacing w:after="0" w:line="240" w:lineRule="auto"/>
        <w:ind w:firstLine="708"/>
        <w:jc w:val="both"/>
        <w:rPr>
          <w:rFonts w:ascii="Times New Roman" w:eastAsia="Calibri" w:hAnsi="Times New Roman" w:cs="Times New Roman"/>
          <w:sz w:val="24"/>
        </w:rPr>
      </w:pPr>
      <w:r w:rsidRPr="003A124A">
        <w:rPr>
          <w:rFonts w:ascii="Times New Roman" w:eastAsia="Calibri" w:hAnsi="Times New Roman" w:cs="Times New Roman"/>
          <w:sz w:val="24"/>
        </w:rPr>
        <w:t xml:space="preserve">В связи с этим, можно сделать вывод о не развитости конкуренции, характеризующийся с одной стороны стабильным и неизменным составом таких </w:t>
      </w:r>
      <w:r w:rsidRPr="003A124A">
        <w:rPr>
          <w:rFonts w:ascii="Times New Roman" w:eastAsia="Calibri" w:hAnsi="Times New Roman" w:cs="Times New Roman"/>
          <w:b/>
          <w:sz w:val="24"/>
        </w:rPr>
        <w:t>крупнейших</w:t>
      </w:r>
      <w:r w:rsidRPr="003A124A">
        <w:rPr>
          <w:rFonts w:ascii="Times New Roman" w:eastAsia="Calibri" w:hAnsi="Times New Roman" w:cs="Times New Roman"/>
          <w:sz w:val="24"/>
        </w:rPr>
        <w:t xml:space="preserve"> хозяйствующих субъектов, действующих на данном рынке, как АО «</w:t>
      </w:r>
      <w:proofErr w:type="spellStart"/>
      <w:r w:rsidRPr="003A124A">
        <w:rPr>
          <w:rFonts w:ascii="Times New Roman" w:eastAsia="Calibri" w:hAnsi="Times New Roman" w:cs="Times New Roman"/>
          <w:sz w:val="24"/>
        </w:rPr>
        <w:t>Липецкнефтепродукт</w:t>
      </w:r>
      <w:proofErr w:type="spellEnd"/>
      <w:r w:rsidRPr="003A124A">
        <w:rPr>
          <w:rFonts w:ascii="Times New Roman" w:eastAsia="Calibri" w:hAnsi="Times New Roman" w:cs="Times New Roman"/>
          <w:sz w:val="24"/>
        </w:rPr>
        <w:t xml:space="preserve">» (по сравнению с </w:t>
      </w:r>
      <w:r w:rsidR="006E2B91" w:rsidRPr="003A124A">
        <w:rPr>
          <w:rFonts w:ascii="Times New Roman" w:eastAsia="Calibri" w:hAnsi="Times New Roman" w:cs="Times New Roman"/>
          <w:sz w:val="24"/>
        </w:rPr>
        <w:t>предыдущими годами)</w:t>
      </w:r>
      <w:r w:rsidRPr="003A124A">
        <w:rPr>
          <w:rFonts w:ascii="Times New Roman" w:eastAsia="Calibri" w:hAnsi="Times New Roman" w:cs="Times New Roman"/>
          <w:sz w:val="24"/>
        </w:rPr>
        <w:t xml:space="preserve"> количество АЗС осталось неизменным 52), ООО «Лукойл-</w:t>
      </w:r>
      <w:proofErr w:type="spellStart"/>
      <w:r w:rsidRPr="003A124A">
        <w:rPr>
          <w:rFonts w:ascii="Times New Roman" w:eastAsia="Calibri" w:hAnsi="Times New Roman" w:cs="Times New Roman"/>
          <w:sz w:val="24"/>
        </w:rPr>
        <w:t>Черноземьенефтепродукт</w:t>
      </w:r>
      <w:proofErr w:type="spellEnd"/>
      <w:r w:rsidRPr="003A124A">
        <w:rPr>
          <w:rFonts w:ascii="Times New Roman" w:eastAsia="Calibri" w:hAnsi="Times New Roman" w:cs="Times New Roman"/>
          <w:sz w:val="24"/>
        </w:rPr>
        <w:t>» (количество АЗС не изменилось – 21), ООО «Предприятие «Управляющая компания» (количество АЗС не изменилось –  50), ООО «ГЭС розница» (количество АЗС не изменилось – 17), а с другой стороны – приходом на рынок новых хозяйствующих субъектов</w:t>
      </w:r>
      <w:r w:rsidR="006E2B91" w:rsidRPr="003A124A">
        <w:rPr>
          <w:rFonts w:ascii="Times New Roman" w:eastAsia="Calibri" w:hAnsi="Times New Roman" w:cs="Times New Roman"/>
          <w:sz w:val="24"/>
        </w:rPr>
        <w:t xml:space="preserve"> (с наименьшим объемом)</w:t>
      </w:r>
      <w:r w:rsidRPr="003A124A">
        <w:rPr>
          <w:rFonts w:ascii="Times New Roman" w:eastAsia="Calibri" w:hAnsi="Times New Roman" w:cs="Times New Roman"/>
          <w:sz w:val="24"/>
        </w:rPr>
        <w:t>: ООО «Шелл Нефть», ООО «</w:t>
      </w:r>
      <w:proofErr w:type="spellStart"/>
      <w:r w:rsidRPr="003A124A">
        <w:rPr>
          <w:rFonts w:ascii="Times New Roman" w:eastAsia="Calibri" w:hAnsi="Times New Roman" w:cs="Times New Roman"/>
          <w:sz w:val="24"/>
        </w:rPr>
        <w:t>Руспетрол</w:t>
      </w:r>
      <w:proofErr w:type="spellEnd"/>
      <w:r w:rsidRPr="003A124A">
        <w:rPr>
          <w:rFonts w:ascii="Times New Roman" w:eastAsia="Calibri" w:hAnsi="Times New Roman" w:cs="Times New Roman"/>
          <w:sz w:val="24"/>
        </w:rPr>
        <w:t>», АЗС «</w:t>
      </w:r>
      <w:proofErr w:type="spellStart"/>
      <w:r w:rsidRPr="003A124A">
        <w:rPr>
          <w:rFonts w:ascii="Times New Roman" w:eastAsia="Calibri" w:hAnsi="Times New Roman" w:cs="Times New Roman"/>
          <w:sz w:val="24"/>
        </w:rPr>
        <w:t>СитиОйл</w:t>
      </w:r>
      <w:proofErr w:type="spellEnd"/>
      <w:r w:rsidRPr="003A124A">
        <w:rPr>
          <w:rFonts w:ascii="Times New Roman" w:eastAsia="Calibri" w:hAnsi="Times New Roman" w:cs="Times New Roman"/>
          <w:sz w:val="24"/>
        </w:rPr>
        <w:t>», АЗС «Калина Ойл».</w:t>
      </w:r>
    </w:p>
    <w:p w:rsidR="0046107A" w:rsidRPr="003A124A" w:rsidRDefault="0046107A" w:rsidP="0046107A">
      <w:pPr>
        <w:spacing w:after="0" w:line="240" w:lineRule="auto"/>
        <w:ind w:firstLine="708"/>
        <w:jc w:val="both"/>
        <w:rPr>
          <w:rFonts w:ascii="Times New Roman" w:eastAsia="Calibri" w:hAnsi="Times New Roman" w:cs="Times New Roman"/>
          <w:sz w:val="24"/>
        </w:rPr>
      </w:pPr>
      <w:r w:rsidRPr="003A124A">
        <w:rPr>
          <w:rFonts w:ascii="Times New Roman" w:eastAsia="Calibri" w:hAnsi="Times New Roman" w:cs="Times New Roman"/>
          <w:sz w:val="24"/>
        </w:rPr>
        <w:t>По результатам проведённого анализа на рынке розничной реализации АИ-98 доминирующее положение с долей более 35% занимает ООО «Лукойл-</w:t>
      </w:r>
      <w:proofErr w:type="spellStart"/>
      <w:r w:rsidRPr="003A124A">
        <w:rPr>
          <w:rFonts w:ascii="Times New Roman" w:eastAsia="Calibri" w:hAnsi="Times New Roman" w:cs="Times New Roman"/>
          <w:sz w:val="24"/>
        </w:rPr>
        <w:t>Черноземьенефтепродукт</w:t>
      </w:r>
      <w:proofErr w:type="spellEnd"/>
      <w:r w:rsidRPr="003A124A">
        <w:rPr>
          <w:rFonts w:ascii="Times New Roman" w:eastAsia="Calibri" w:hAnsi="Times New Roman" w:cs="Times New Roman"/>
          <w:sz w:val="24"/>
        </w:rPr>
        <w:t>», на рынке АИ-95 – АО «</w:t>
      </w:r>
      <w:proofErr w:type="spellStart"/>
      <w:r w:rsidRPr="003A124A">
        <w:rPr>
          <w:rFonts w:ascii="Times New Roman" w:eastAsia="Calibri" w:hAnsi="Times New Roman" w:cs="Times New Roman"/>
          <w:sz w:val="24"/>
        </w:rPr>
        <w:t>Липецкнефтепродукт</w:t>
      </w:r>
      <w:proofErr w:type="spellEnd"/>
      <w:r w:rsidRPr="003A124A">
        <w:rPr>
          <w:rFonts w:ascii="Times New Roman" w:eastAsia="Calibri" w:hAnsi="Times New Roman" w:cs="Times New Roman"/>
          <w:sz w:val="24"/>
        </w:rPr>
        <w:t>», на рынке АИ-92 – АО «</w:t>
      </w:r>
      <w:proofErr w:type="spellStart"/>
      <w:r w:rsidRPr="003A124A">
        <w:rPr>
          <w:rFonts w:ascii="Times New Roman" w:eastAsia="Calibri" w:hAnsi="Times New Roman" w:cs="Times New Roman"/>
          <w:sz w:val="24"/>
        </w:rPr>
        <w:t>Липецкнефтепродукт</w:t>
      </w:r>
      <w:proofErr w:type="spellEnd"/>
      <w:r w:rsidRPr="003A124A">
        <w:rPr>
          <w:rFonts w:ascii="Times New Roman" w:eastAsia="Calibri" w:hAnsi="Times New Roman" w:cs="Times New Roman"/>
          <w:sz w:val="24"/>
        </w:rPr>
        <w:t>».</w:t>
      </w:r>
    </w:p>
    <w:p w:rsidR="004A3997" w:rsidRPr="003A124A" w:rsidRDefault="0046107A" w:rsidP="0046107A">
      <w:pPr>
        <w:spacing w:after="0" w:line="240" w:lineRule="auto"/>
        <w:ind w:firstLine="708"/>
        <w:jc w:val="both"/>
        <w:rPr>
          <w:rFonts w:ascii="Times New Roman" w:eastAsia="Calibri" w:hAnsi="Times New Roman" w:cs="Times New Roman"/>
          <w:sz w:val="24"/>
        </w:rPr>
      </w:pPr>
      <w:r w:rsidRPr="003A124A">
        <w:rPr>
          <w:rFonts w:ascii="Times New Roman" w:eastAsia="Calibri" w:hAnsi="Times New Roman" w:cs="Times New Roman"/>
          <w:sz w:val="24"/>
        </w:rPr>
        <w:t>Сам факт наличия у компаний доминирующего положения не рассматривается, как противоправное действие и не считается негативным явлением. Антимонопольный орган преследуют именно злоупотребление доминирующим положением и рыночной властью. В связи с чем Липецкое УФАС России еженедельно проводит мониторинг оптовых и розничных цен крупнейших продавцов нефтепродуктов на территории региона. В случае необоснованного повышения цен более, чем на 5%, проводится анализ данного повышения. Случаев одномоментного повышения розничных цен более, чем на 5% на данный момент выявлено не было.</w:t>
      </w:r>
    </w:p>
    <w:p w:rsidR="003A124A" w:rsidRDefault="003A124A" w:rsidP="004A3997">
      <w:pPr>
        <w:spacing w:after="0" w:line="240" w:lineRule="auto"/>
        <w:jc w:val="center"/>
        <w:rPr>
          <w:rFonts w:ascii="Times New Roman" w:eastAsia="Calibri" w:hAnsi="Times New Roman" w:cs="Times New Roman"/>
          <w:b/>
          <w:i/>
          <w:sz w:val="24"/>
        </w:rPr>
      </w:pPr>
    </w:p>
    <w:p w:rsidR="004A3997" w:rsidRPr="003A124A" w:rsidRDefault="004A3997" w:rsidP="004A3997">
      <w:pPr>
        <w:spacing w:after="0" w:line="240" w:lineRule="auto"/>
        <w:jc w:val="center"/>
        <w:rPr>
          <w:rFonts w:ascii="Times New Roman" w:eastAsia="Calibri" w:hAnsi="Times New Roman" w:cs="Times New Roman"/>
          <w:b/>
          <w:i/>
          <w:sz w:val="24"/>
        </w:rPr>
      </w:pPr>
      <w:r w:rsidRPr="003A124A">
        <w:rPr>
          <w:rFonts w:ascii="Times New Roman" w:eastAsia="Calibri" w:hAnsi="Times New Roman" w:cs="Times New Roman"/>
          <w:b/>
          <w:i/>
          <w:sz w:val="24"/>
        </w:rPr>
        <w:t>О состоянии конкурентной среды</w:t>
      </w:r>
    </w:p>
    <w:p w:rsidR="004A3997" w:rsidRPr="003A124A" w:rsidRDefault="004A3997" w:rsidP="004A3997">
      <w:pPr>
        <w:spacing w:after="0" w:line="240" w:lineRule="auto"/>
        <w:jc w:val="center"/>
        <w:rPr>
          <w:rFonts w:ascii="Times New Roman" w:eastAsia="Calibri" w:hAnsi="Times New Roman" w:cs="Times New Roman"/>
          <w:b/>
          <w:i/>
          <w:sz w:val="24"/>
        </w:rPr>
      </w:pPr>
      <w:r w:rsidRPr="003A124A">
        <w:rPr>
          <w:rFonts w:ascii="Times New Roman" w:eastAsia="Calibri" w:hAnsi="Times New Roman" w:cs="Times New Roman"/>
          <w:b/>
          <w:i/>
          <w:sz w:val="24"/>
        </w:rPr>
        <w:t xml:space="preserve"> на розничных рынках дизельного топлива</w:t>
      </w:r>
    </w:p>
    <w:p w:rsidR="0046107A" w:rsidRPr="003A124A" w:rsidRDefault="0046107A" w:rsidP="0046107A">
      <w:pPr>
        <w:spacing w:after="0" w:line="240" w:lineRule="auto"/>
        <w:jc w:val="both"/>
        <w:rPr>
          <w:rFonts w:ascii="Times New Roman" w:eastAsia="Calibri" w:hAnsi="Times New Roman" w:cs="Times New Roman"/>
          <w:sz w:val="24"/>
        </w:rPr>
      </w:pPr>
    </w:p>
    <w:p w:rsidR="0046107A" w:rsidRPr="003A124A" w:rsidRDefault="0046107A" w:rsidP="0046107A">
      <w:pPr>
        <w:spacing w:after="0" w:line="240" w:lineRule="auto"/>
        <w:ind w:firstLine="708"/>
        <w:jc w:val="both"/>
        <w:rPr>
          <w:rFonts w:ascii="Times New Roman" w:eastAsia="Calibri" w:hAnsi="Times New Roman" w:cs="Times New Roman"/>
          <w:sz w:val="24"/>
        </w:rPr>
      </w:pPr>
      <w:r w:rsidRPr="003A124A">
        <w:rPr>
          <w:rFonts w:ascii="Times New Roman" w:eastAsia="Calibri" w:hAnsi="Times New Roman" w:cs="Times New Roman"/>
          <w:sz w:val="24"/>
        </w:rPr>
        <w:t>На территории региона наиболее крупными хозяйствующими субъектами, осуществляющими реализацию дизельного топлива в розницу, являются: вертикально-интегрированная компания АО «</w:t>
      </w:r>
      <w:proofErr w:type="spellStart"/>
      <w:r w:rsidRPr="003A124A">
        <w:rPr>
          <w:rFonts w:ascii="Times New Roman" w:eastAsia="Calibri" w:hAnsi="Times New Roman" w:cs="Times New Roman"/>
          <w:sz w:val="24"/>
        </w:rPr>
        <w:t>Липецкнефтепродукт</w:t>
      </w:r>
      <w:proofErr w:type="spellEnd"/>
      <w:r w:rsidRPr="003A124A">
        <w:rPr>
          <w:rFonts w:ascii="Times New Roman" w:eastAsia="Calibri" w:hAnsi="Times New Roman" w:cs="Times New Roman"/>
          <w:sz w:val="24"/>
        </w:rPr>
        <w:t xml:space="preserve">» (ПАО «НК «Роснефть»), ООО «Лукойл – </w:t>
      </w:r>
      <w:proofErr w:type="spellStart"/>
      <w:r w:rsidRPr="003A124A">
        <w:rPr>
          <w:rFonts w:ascii="Times New Roman" w:eastAsia="Calibri" w:hAnsi="Times New Roman" w:cs="Times New Roman"/>
          <w:sz w:val="24"/>
        </w:rPr>
        <w:t>Черноземьенефтепродукт</w:t>
      </w:r>
      <w:proofErr w:type="spellEnd"/>
      <w:r w:rsidRPr="003A124A">
        <w:rPr>
          <w:rFonts w:ascii="Times New Roman" w:eastAsia="Calibri" w:hAnsi="Times New Roman" w:cs="Times New Roman"/>
          <w:sz w:val="24"/>
        </w:rPr>
        <w:t>» (ПАО «НК «Лукойл»), ООО «</w:t>
      </w:r>
      <w:proofErr w:type="spellStart"/>
      <w:r w:rsidRPr="003A124A">
        <w:rPr>
          <w:rFonts w:ascii="Times New Roman" w:eastAsia="Calibri" w:hAnsi="Times New Roman" w:cs="Times New Roman"/>
          <w:sz w:val="24"/>
        </w:rPr>
        <w:t>Газэнергосеть</w:t>
      </w:r>
      <w:proofErr w:type="spellEnd"/>
      <w:r w:rsidRPr="003A124A">
        <w:rPr>
          <w:rFonts w:ascii="Times New Roman" w:eastAsia="Calibri" w:hAnsi="Times New Roman" w:cs="Times New Roman"/>
          <w:sz w:val="24"/>
        </w:rPr>
        <w:t xml:space="preserve"> розница» (ПАО «Газпром») и независимая компания ООО «Предприятие «Управляющая компания». Наличие у данных компаний максимального количества АЗС позволяет осуществлять реализацию нефтепродуктов практически во всех районах области и, соответственно, определять ценовую политику на территории области.</w:t>
      </w:r>
    </w:p>
    <w:p w:rsidR="0046107A" w:rsidRPr="003A124A" w:rsidRDefault="0046107A" w:rsidP="0046107A">
      <w:pPr>
        <w:spacing w:after="0" w:line="240" w:lineRule="auto"/>
        <w:ind w:firstLine="708"/>
        <w:jc w:val="both"/>
        <w:rPr>
          <w:rFonts w:ascii="Times New Roman" w:eastAsia="Calibri" w:hAnsi="Times New Roman" w:cs="Times New Roman"/>
          <w:sz w:val="24"/>
        </w:rPr>
      </w:pPr>
      <w:r w:rsidRPr="003A124A">
        <w:rPr>
          <w:rFonts w:ascii="Times New Roman" w:eastAsia="Calibri" w:hAnsi="Times New Roman" w:cs="Times New Roman"/>
          <w:sz w:val="24"/>
        </w:rPr>
        <w:t>Показатели рыночной концентрации товарного рынка за 2016 год, позволяют отнести рынок розничной реализации дизельного топлива к типу высококонцентрированных рынков с недостаточно развитой конкурентной средой.</w:t>
      </w:r>
    </w:p>
    <w:p w:rsidR="0046107A" w:rsidRPr="003A124A" w:rsidRDefault="0046107A" w:rsidP="0046107A">
      <w:pPr>
        <w:spacing w:after="0" w:line="240" w:lineRule="auto"/>
        <w:jc w:val="both"/>
        <w:rPr>
          <w:rFonts w:ascii="Times New Roman" w:eastAsia="Calibri" w:hAnsi="Times New Roman" w:cs="Times New Roman"/>
          <w:sz w:val="24"/>
        </w:rPr>
      </w:pPr>
      <w:r w:rsidRPr="003A124A">
        <w:rPr>
          <w:rFonts w:ascii="Times New Roman" w:eastAsia="Calibri" w:hAnsi="Times New Roman" w:cs="Times New Roman"/>
          <w:sz w:val="24"/>
        </w:rPr>
        <w:t>Также стоит отметить, что существуют труднопреодолимые барьеры в виде экономических ограничений и наличия на розничных рынках дизельного топлива ВИНК, которые существенно снижают возможность входа на рынок новых хозяйствующих субъектов.</w:t>
      </w:r>
    </w:p>
    <w:p w:rsidR="0046107A" w:rsidRPr="003A124A" w:rsidRDefault="0046107A" w:rsidP="0046107A">
      <w:pPr>
        <w:spacing w:after="0" w:line="240" w:lineRule="auto"/>
        <w:ind w:firstLine="708"/>
        <w:jc w:val="both"/>
        <w:rPr>
          <w:rFonts w:ascii="Times New Roman" w:eastAsia="Calibri" w:hAnsi="Times New Roman" w:cs="Times New Roman"/>
          <w:sz w:val="24"/>
        </w:rPr>
      </w:pPr>
      <w:r w:rsidRPr="003A124A">
        <w:rPr>
          <w:rFonts w:ascii="Times New Roman" w:eastAsia="Calibri" w:hAnsi="Times New Roman" w:cs="Times New Roman"/>
          <w:sz w:val="24"/>
        </w:rPr>
        <w:t xml:space="preserve">В связи с этим, можно сделать вывод о не развитости конкуренции, характеризующийся с одной стороны стабильным и неизменным составом таких </w:t>
      </w:r>
      <w:r w:rsidRPr="003A124A">
        <w:rPr>
          <w:rFonts w:ascii="Times New Roman" w:eastAsia="Calibri" w:hAnsi="Times New Roman" w:cs="Times New Roman"/>
          <w:b/>
          <w:sz w:val="24"/>
        </w:rPr>
        <w:t xml:space="preserve">крупнейших </w:t>
      </w:r>
      <w:r w:rsidRPr="003A124A">
        <w:rPr>
          <w:rFonts w:ascii="Times New Roman" w:eastAsia="Calibri" w:hAnsi="Times New Roman" w:cs="Times New Roman"/>
          <w:sz w:val="24"/>
        </w:rPr>
        <w:t>хозяйствующих субъектов, действующих на данном рынке, как АО «</w:t>
      </w:r>
      <w:proofErr w:type="spellStart"/>
      <w:r w:rsidRPr="003A124A">
        <w:rPr>
          <w:rFonts w:ascii="Times New Roman" w:eastAsia="Calibri" w:hAnsi="Times New Roman" w:cs="Times New Roman"/>
          <w:sz w:val="24"/>
        </w:rPr>
        <w:t>Липецкнефтепродукт</w:t>
      </w:r>
      <w:proofErr w:type="spellEnd"/>
      <w:r w:rsidRPr="003A124A">
        <w:rPr>
          <w:rFonts w:ascii="Times New Roman" w:eastAsia="Calibri" w:hAnsi="Times New Roman" w:cs="Times New Roman"/>
          <w:sz w:val="24"/>
        </w:rPr>
        <w:t>» (по сравнению с 2013 годом количество АЗС осталось неизменным 52), ООО «Лукойл-</w:t>
      </w:r>
      <w:proofErr w:type="spellStart"/>
      <w:r w:rsidRPr="003A124A">
        <w:rPr>
          <w:rFonts w:ascii="Times New Roman" w:eastAsia="Calibri" w:hAnsi="Times New Roman" w:cs="Times New Roman"/>
          <w:sz w:val="24"/>
        </w:rPr>
        <w:t>Черноземьенефтепродукт</w:t>
      </w:r>
      <w:proofErr w:type="spellEnd"/>
      <w:r w:rsidRPr="003A124A">
        <w:rPr>
          <w:rFonts w:ascii="Times New Roman" w:eastAsia="Calibri" w:hAnsi="Times New Roman" w:cs="Times New Roman"/>
          <w:sz w:val="24"/>
        </w:rPr>
        <w:t>» (количество АЗС не изменилось – 21), ООО «Предприятие «Управляющая компания» (количество АЗС не изменилось –  50), ООО «ГЭС розница» (количество АЗС не изменилось – 17), а с другой стороны – приходом на рынок новых хозяйствующих субъектов (с наименьшим объемом):  ООО «Шелл Нефть», ООО «</w:t>
      </w:r>
      <w:proofErr w:type="spellStart"/>
      <w:r w:rsidRPr="003A124A">
        <w:rPr>
          <w:rFonts w:ascii="Times New Roman" w:eastAsia="Calibri" w:hAnsi="Times New Roman" w:cs="Times New Roman"/>
          <w:sz w:val="24"/>
        </w:rPr>
        <w:t>Руспетрол</w:t>
      </w:r>
      <w:proofErr w:type="spellEnd"/>
      <w:r w:rsidRPr="003A124A">
        <w:rPr>
          <w:rFonts w:ascii="Times New Roman" w:eastAsia="Calibri" w:hAnsi="Times New Roman" w:cs="Times New Roman"/>
          <w:sz w:val="24"/>
        </w:rPr>
        <w:t>», АЗС «</w:t>
      </w:r>
      <w:proofErr w:type="spellStart"/>
      <w:r w:rsidRPr="003A124A">
        <w:rPr>
          <w:rFonts w:ascii="Times New Roman" w:eastAsia="Calibri" w:hAnsi="Times New Roman" w:cs="Times New Roman"/>
          <w:sz w:val="24"/>
        </w:rPr>
        <w:t>СитиОйл</w:t>
      </w:r>
      <w:proofErr w:type="spellEnd"/>
      <w:r w:rsidRPr="003A124A">
        <w:rPr>
          <w:rFonts w:ascii="Times New Roman" w:eastAsia="Calibri" w:hAnsi="Times New Roman" w:cs="Times New Roman"/>
          <w:sz w:val="24"/>
        </w:rPr>
        <w:t>», АЗС «Калина Ойл».</w:t>
      </w:r>
    </w:p>
    <w:p w:rsidR="004A3997" w:rsidRPr="003A124A" w:rsidRDefault="0046107A" w:rsidP="0046107A">
      <w:pPr>
        <w:spacing w:after="0" w:line="240" w:lineRule="auto"/>
        <w:ind w:firstLine="708"/>
        <w:jc w:val="both"/>
        <w:rPr>
          <w:rFonts w:ascii="Times New Roman" w:eastAsia="Calibri" w:hAnsi="Times New Roman" w:cs="Times New Roman"/>
          <w:sz w:val="24"/>
        </w:rPr>
      </w:pPr>
      <w:r w:rsidRPr="003A124A">
        <w:rPr>
          <w:rFonts w:ascii="Times New Roman" w:eastAsia="Calibri" w:hAnsi="Times New Roman" w:cs="Times New Roman"/>
          <w:sz w:val="24"/>
        </w:rPr>
        <w:lastRenderedPageBreak/>
        <w:t>По результатам проведённого анализа на рынке розничной реализации дизельного топлива доминирующее положение с долей более 35% занимает АО «</w:t>
      </w:r>
      <w:proofErr w:type="spellStart"/>
      <w:r w:rsidRPr="003A124A">
        <w:rPr>
          <w:rFonts w:ascii="Times New Roman" w:eastAsia="Calibri" w:hAnsi="Times New Roman" w:cs="Times New Roman"/>
          <w:sz w:val="24"/>
        </w:rPr>
        <w:t>Липецкнефтепродукт</w:t>
      </w:r>
      <w:proofErr w:type="spellEnd"/>
      <w:r w:rsidRPr="003A124A">
        <w:rPr>
          <w:rFonts w:ascii="Times New Roman" w:eastAsia="Calibri" w:hAnsi="Times New Roman" w:cs="Times New Roman"/>
          <w:sz w:val="24"/>
        </w:rPr>
        <w:t>».</w:t>
      </w:r>
    </w:p>
    <w:p w:rsidR="004A3997" w:rsidRPr="003A124A" w:rsidRDefault="004A3997" w:rsidP="004A3997">
      <w:pPr>
        <w:spacing w:after="0" w:line="240" w:lineRule="auto"/>
        <w:jc w:val="both"/>
        <w:rPr>
          <w:rFonts w:ascii="Times New Roman" w:eastAsia="Calibri" w:hAnsi="Times New Roman" w:cs="Times New Roman"/>
          <w:sz w:val="24"/>
        </w:rPr>
      </w:pPr>
    </w:p>
    <w:p w:rsidR="004A3997" w:rsidRPr="003A124A" w:rsidRDefault="004A3997" w:rsidP="004A3997">
      <w:pPr>
        <w:spacing w:after="0" w:line="240" w:lineRule="auto"/>
        <w:jc w:val="center"/>
        <w:rPr>
          <w:rFonts w:ascii="Times New Roman" w:eastAsia="Calibri" w:hAnsi="Times New Roman" w:cs="Times New Roman"/>
          <w:b/>
          <w:i/>
          <w:sz w:val="24"/>
        </w:rPr>
      </w:pPr>
      <w:r w:rsidRPr="003A124A">
        <w:rPr>
          <w:rFonts w:ascii="Times New Roman" w:eastAsia="Calibri" w:hAnsi="Times New Roman" w:cs="Times New Roman"/>
          <w:b/>
          <w:i/>
          <w:sz w:val="24"/>
        </w:rPr>
        <w:t>О состояния конкурентной среды на рынке услуг по сбору и транспортированию твёрдых коммунальных отходов</w:t>
      </w:r>
    </w:p>
    <w:p w:rsidR="004A3997" w:rsidRPr="003A124A" w:rsidRDefault="004A3997" w:rsidP="004A3997">
      <w:pPr>
        <w:spacing w:after="0" w:line="240" w:lineRule="auto"/>
        <w:jc w:val="center"/>
        <w:rPr>
          <w:rFonts w:ascii="Times New Roman" w:eastAsia="Calibri" w:hAnsi="Times New Roman" w:cs="Times New Roman"/>
          <w:sz w:val="24"/>
        </w:rPr>
      </w:pPr>
    </w:p>
    <w:p w:rsidR="004A3997" w:rsidRPr="003A124A" w:rsidRDefault="004A3997" w:rsidP="004A3997">
      <w:pPr>
        <w:spacing w:after="0" w:line="240" w:lineRule="auto"/>
        <w:ind w:firstLine="708"/>
        <w:jc w:val="both"/>
        <w:rPr>
          <w:rFonts w:ascii="Times New Roman" w:eastAsia="Calibri" w:hAnsi="Times New Roman" w:cs="Times New Roman"/>
          <w:sz w:val="24"/>
        </w:rPr>
      </w:pPr>
      <w:r w:rsidRPr="003A124A">
        <w:rPr>
          <w:rFonts w:ascii="Times New Roman" w:eastAsia="Calibri" w:hAnsi="Times New Roman" w:cs="Times New Roman"/>
          <w:sz w:val="24"/>
        </w:rPr>
        <w:t>Рынок услуг по сбору и транспортированию ТКО в большинстве исследуемых городов и районов относится к рынку с неразвитой конкуренцией. Большинство предприятий осуществляющих деятельность на данном рынке в локальных географических границах занимают доминирующее положение.</w:t>
      </w:r>
    </w:p>
    <w:p w:rsidR="004A3997" w:rsidRPr="003A124A" w:rsidRDefault="004A3997" w:rsidP="004A3997">
      <w:pPr>
        <w:spacing w:after="0" w:line="240" w:lineRule="auto"/>
        <w:jc w:val="both"/>
        <w:rPr>
          <w:rFonts w:ascii="Times New Roman" w:eastAsia="Calibri" w:hAnsi="Times New Roman" w:cs="Times New Roman"/>
          <w:sz w:val="24"/>
        </w:rPr>
      </w:pPr>
      <w:r w:rsidRPr="003A124A">
        <w:rPr>
          <w:rFonts w:ascii="Times New Roman" w:eastAsia="Calibri" w:hAnsi="Times New Roman" w:cs="Times New Roman"/>
          <w:sz w:val="24"/>
        </w:rPr>
        <w:t xml:space="preserve">Барьеры вхождения на рынок новых хозяйствующих субъектов связаны в основном с капитальными вложениями в покупку специализированного транспорта, а также административными, связанными с получением лицензии. </w:t>
      </w:r>
    </w:p>
    <w:p w:rsidR="004A3997" w:rsidRPr="003A124A" w:rsidRDefault="004A3997" w:rsidP="004A3997">
      <w:pPr>
        <w:spacing w:after="0" w:line="240" w:lineRule="auto"/>
        <w:jc w:val="both"/>
        <w:rPr>
          <w:rFonts w:ascii="Times New Roman" w:eastAsia="Calibri" w:hAnsi="Times New Roman" w:cs="Times New Roman"/>
          <w:sz w:val="24"/>
        </w:rPr>
      </w:pPr>
      <w:r w:rsidRPr="003A124A">
        <w:rPr>
          <w:rFonts w:ascii="Times New Roman" w:eastAsia="Calibri" w:hAnsi="Times New Roman" w:cs="Times New Roman"/>
          <w:sz w:val="24"/>
        </w:rPr>
        <w:t>Действия Липецкого УФАС России на рынке услуг по сбору и транспортированию ТКО выражаются в:</w:t>
      </w:r>
    </w:p>
    <w:p w:rsidR="004A3997" w:rsidRPr="003A124A" w:rsidRDefault="004A3997" w:rsidP="004A3997">
      <w:pPr>
        <w:pStyle w:val="a6"/>
        <w:numPr>
          <w:ilvl w:val="0"/>
          <w:numId w:val="6"/>
        </w:numPr>
        <w:spacing w:after="0" w:line="240" w:lineRule="auto"/>
        <w:jc w:val="both"/>
        <w:rPr>
          <w:rFonts w:ascii="Times New Roman" w:eastAsia="Calibri" w:hAnsi="Times New Roman" w:cs="Times New Roman"/>
          <w:sz w:val="24"/>
        </w:rPr>
      </w:pPr>
      <w:r w:rsidRPr="003A124A">
        <w:rPr>
          <w:rFonts w:ascii="Times New Roman" w:eastAsia="Calibri" w:hAnsi="Times New Roman" w:cs="Times New Roman"/>
          <w:sz w:val="24"/>
        </w:rPr>
        <w:t>контроле за рыночным поведением всех хозяйствующих субъектов, действующих на данном товарном рынке;</w:t>
      </w:r>
    </w:p>
    <w:p w:rsidR="004A3997" w:rsidRPr="003A124A" w:rsidRDefault="004A3997" w:rsidP="004A3997">
      <w:pPr>
        <w:pStyle w:val="a6"/>
        <w:numPr>
          <w:ilvl w:val="0"/>
          <w:numId w:val="6"/>
        </w:numPr>
        <w:spacing w:after="0" w:line="240" w:lineRule="auto"/>
        <w:jc w:val="both"/>
        <w:rPr>
          <w:rFonts w:ascii="Times New Roman" w:eastAsia="Calibri" w:hAnsi="Times New Roman" w:cs="Times New Roman"/>
          <w:sz w:val="24"/>
        </w:rPr>
      </w:pPr>
      <w:r w:rsidRPr="003A124A">
        <w:rPr>
          <w:rFonts w:ascii="Times New Roman" w:eastAsia="Calibri" w:hAnsi="Times New Roman" w:cs="Times New Roman"/>
          <w:sz w:val="24"/>
        </w:rPr>
        <w:t>пресечении недобросовестной конкуренции;</w:t>
      </w:r>
    </w:p>
    <w:p w:rsidR="004A3997" w:rsidRPr="003A124A" w:rsidRDefault="004A3997" w:rsidP="004A3997">
      <w:pPr>
        <w:pStyle w:val="a6"/>
        <w:numPr>
          <w:ilvl w:val="0"/>
          <w:numId w:val="6"/>
        </w:numPr>
        <w:spacing w:after="0" w:line="240" w:lineRule="auto"/>
        <w:jc w:val="both"/>
        <w:rPr>
          <w:rFonts w:ascii="Times New Roman" w:eastAsia="Calibri" w:hAnsi="Times New Roman" w:cs="Times New Roman"/>
          <w:sz w:val="24"/>
        </w:rPr>
      </w:pPr>
      <w:r w:rsidRPr="003A124A">
        <w:rPr>
          <w:rFonts w:ascii="Times New Roman" w:eastAsia="Calibri" w:hAnsi="Times New Roman" w:cs="Times New Roman"/>
          <w:sz w:val="24"/>
        </w:rPr>
        <w:t>выявлении согласованных действий хозяйствующих субъектов и наличия групп лиц, действующих на исследуемом рынке.</w:t>
      </w:r>
    </w:p>
    <w:p w:rsidR="004A3997" w:rsidRPr="003A124A" w:rsidRDefault="004A3997" w:rsidP="004A3997">
      <w:pPr>
        <w:pStyle w:val="a6"/>
        <w:spacing w:after="0" w:line="240" w:lineRule="auto"/>
        <w:ind w:left="284"/>
        <w:jc w:val="both"/>
        <w:rPr>
          <w:rFonts w:ascii="Times New Roman" w:eastAsia="Calibri" w:hAnsi="Times New Roman" w:cs="Times New Roman"/>
          <w:sz w:val="24"/>
        </w:rPr>
      </w:pPr>
      <w:r w:rsidRPr="003A124A">
        <w:rPr>
          <w:rFonts w:ascii="Times New Roman" w:eastAsia="Calibri" w:hAnsi="Times New Roman" w:cs="Times New Roman"/>
          <w:sz w:val="24"/>
        </w:rPr>
        <w:t>Улучшить ситуацию на рынке услуг по сбору и транспортированию ТКО могут органы власти, действиями, направленными на формирование конкурентной среды на рынке, например:</w:t>
      </w:r>
    </w:p>
    <w:p w:rsidR="004A3997" w:rsidRPr="003A124A" w:rsidRDefault="004A3997" w:rsidP="004A3997">
      <w:pPr>
        <w:pStyle w:val="a6"/>
        <w:numPr>
          <w:ilvl w:val="0"/>
          <w:numId w:val="6"/>
        </w:numPr>
        <w:spacing w:after="0" w:line="240" w:lineRule="auto"/>
        <w:jc w:val="both"/>
        <w:rPr>
          <w:rFonts w:ascii="Times New Roman" w:eastAsia="Calibri" w:hAnsi="Times New Roman" w:cs="Times New Roman"/>
          <w:sz w:val="24"/>
        </w:rPr>
      </w:pPr>
      <w:r w:rsidRPr="003A124A">
        <w:rPr>
          <w:rFonts w:ascii="Times New Roman" w:eastAsia="Calibri" w:hAnsi="Times New Roman" w:cs="Times New Roman"/>
          <w:sz w:val="24"/>
        </w:rPr>
        <w:t>внедрение рыночного механизма предоставления государственной помощи,</w:t>
      </w:r>
    </w:p>
    <w:p w:rsidR="004A3997" w:rsidRPr="003A124A" w:rsidRDefault="004A3997" w:rsidP="004A3997">
      <w:pPr>
        <w:pStyle w:val="a6"/>
        <w:numPr>
          <w:ilvl w:val="0"/>
          <w:numId w:val="6"/>
        </w:numPr>
        <w:spacing w:after="0" w:line="240" w:lineRule="auto"/>
        <w:jc w:val="both"/>
        <w:rPr>
          <w:rFonts w:ascii="Times New Roman" w:eastAsia="Calibri" w:hAnsi="Times New Roman" w:cs="Times New Roman"/>
          <w:sz w:val="24"/>
        </w:rPr>
      </w:pPr>
      <w:r w:rsidRPr="003A124A">
        <w:rPr>
          <w:rFonts w:ascii="Times New Roman" w:eastAsia="Calibri" w:hAnsi="Times New Roman" w:cs="Times New Roman"/>
          <w:sz w:val="24"/>
        </w:rPr>
        <w:t>использование конкурсных способов заключения договоров,</w:t>
      </w:r>
    </w:p>
    <w:p w:rsidR="004A3997" w:rsidRPr="003A124A" w:rsidRDefault="004A3997" w:rsidP="004A3997">
      <w:pPr>
        <w:pStyle w:val="a6"/>
        <w:numPr>
          <w:ilvl w:val="0"/>
          <w:numId w:val="6"/>
        </w:numPr>
        <w:spacing w:after="0" w:line="240" w:lineRule="auto"/>
        <w:jc w:val="both"/>
        <w:rPr>
          <w:rFonts w:ascii="Times New Roman" w:eastAsia="Calibri" w:hAnsi="Times New Roman" w:cs="Times New Roman"/>
          <w:sz w:val="24"/>
        </w:rPr>
      </w:pPr>
      <w:r w:rsidRPr="003A124A">
        <w:rPr>
          <w:rFonts w:ascii="Times New Roman" w:eastAsia="Calibri" w:hAnsi="Times New Roman" w:cs="Times New Roman"/>
          <w:sz w:val="24"/>
        </w:rPr>
        <w:t>стимулирование повышения качества и др.</w:t>
      </w:r>
    </w:p>
    <w:p w:rsidR="004A3997" w:rsidRPr="003A124A" w:rsidRDefault="004A3997" w:rsidP="004A3997">
      <w:pPr>
        <w:spacing w:after="0" w:line="240" w:lineRule="auto"/>
        <w:jc w:val="both"/>
        <w:rPr>
          <w:rFonts w:ascii="Times New Roman" w:eastAsia="Calibri" w:hAnsi="Times New Roman" w:cs="Times New Roman"/>
          <w:sz w:val="24"/>
        </w:rPr>
      </w:pPr>
    </w:p>
    <w:p w:rsidR="004A3997" w:rsidRPr="003A124A" w:rsidRDefault="004A3997" w:rsidP="004A3997">
      <w:pPr>
        <w:spacing w:after="0" w:line="240" w:lineRule="auto"/>
        <w:jc w:val="center"/>
        <w:rPr>
          <w:rFonts w:ascii="Times New Roman" w:eastAsia="Calibri" w:hAnsi="Times New Roman" w:cs="Times New Roman"/>
          <w:b/>
          <w:i/>
          <w:sz w:val="24"/>
        </w:rPr>
      </w:pPr>
      <w:r w:rsidRPr="003A124A">
        <w:rPr>
          <w:rFonts w:ascii="Times New Roman" w:eastAsia="Calibri" w:hAnsi="Times New Roman" w:cs="Times New Roman"/>
          <w:b/>
          <w:i/>
          <w:sz w:val="24"/>
        </w:rPr>
        <w:t>О начислении платы за жилищно-коммунальные услуги</w:t>
      </w:r>
    </w:p>
    <w:p w:rsidR="004A3997" w:rsidRPr="003A124A" w:rsidRDefault="004A3997" w:rsidP="004A3997">
      <w:pPr>
        <w:spacing w:after="0" w:line="240" w:lineRule="auto"/>
        <w:jc w:val="center"/>
        <w:rPr>
          <w:rFonts w:ascii="Times New Roman" w:eastAsia="Calibri" w:hAnsi="Times New Roman" w:cs="Times New Roman"/>
          <w:b/>
          <w:i/>
          <w:sz w:val="24"/>
        </w:rPr>
      </w:pPr>
    </w:p>
    <w:p w:rsidR="004A3997" w:rsidRPr="003A124A" w:rsidRDefault="004A3997" w:rsidP="004A3997">
      <w:pPr>
        <w:spacing w:after="0" w:line="240" w:lineRule="auto"/>
        <w:ind w:firstLine="708"/>
        <w:jc w:val="both"/>
        <w:rPr>
          <w:rFonts w:ascii="Times New Roman" w:eastAsia="Calibri" w:hAnsi="Times New Roman" w:cs="Times New Roman"/>
          <w:sz w:val="24"/>
        </w:rPr>
      </w:pPr>
      <w:r w:rsidRPr="003A124A">
        <w:rPr>
          <w:rFonts w:ascii="Times New Roman" w:eastAsia="Calibri" w:hAnsi="Times New Roman" w:cs="Times New Roman"/>
          <w:sz w:val="24"/>
        </w:rPr>
        <w:t xml:space="preserve">В Липецкой области между </w:t>
      </w:r>
      <w:proofErr w:type="spellStart"/>
      <w:r w:rsidRPr="003A124A">
        <w:rPr>
          <w:rFonts w:ascii="Times New Roman" w:eastAsia="Calibri" w:hAnsi="Times New Roman" w:cs="Times New Roman"/>
          <w:sz w:val="24"/>
        </w:rPr>
        <w:t>ресурсоснабжающими</w:t>
      </w:r>
      <w:proofErr w:type="spellEnd"/>
      <w:r w:rsidRPr="003A124A">
        <w:rPr>
          <w:rFonts w:ascii="Times New Roman" w:eastAsia="Calibri" w:hAnsi="Times New Roman" w:cs="Times New Roman"/>
          <w:sz w:val="24"/>
        </w:rPr>
        <w:t xml:space="preserve"> организациями, такими как: АО «Липецкая городская энергетическая компания» (АО «ЛГЭК»), ОАО «Липецкая </w:t>
      </w:r>
      <w:proofErr w:type="spellStart"/>
      <w:r w:rsidRPr="003A124A">
        <w:rPr>
          <w:rFonts w:ascii="Times New Roman" w:eastAsia="Calibri" w:hAnsi="Times New Roman" w:cs="Times New Roman"/>
          <w:sz w:val="24"/>
        </w:rPr>
        <w:t>энергосбытовая</w:t>
      </w:r>
      <w:proofErr w:type="spellEnd"/>
      <w:r w:rsidRPr="003A124A">
        <w:rPr>
          <w:rFonts w:ascii="Times New Roman" w:eastAsia="Calibri" w:hAnsi="Times New Roman" w:cs="Times New Roman"/>
          <w:sz w:val="24"/>
        </w:rPr>
        <w:t xml:space="preserve"> компания» (ОАО «ЛЭСК»), филиал ПАО «</w:t>
      </w:r>
      <w:proofErr w:type="spellStart"/>
      <w:r w:rsidRPr="003A124A">
        <w:rPr>
          <w:rFonts w:ascii="Times New Roman" w:eastAsia="Calibri" w:hAnsi="Times New Roman" w:cs="Times New Roman"/>
          <w:sz w:val="24"/>
        </w:rPr>
        <w:t>Квадра</w:t>
      </w:r>
      <w:proofErr w:type="spellEnd"/>
      <w:r w:rsidRPr="003A124A">
        <w:rPr>
          <w:rFonts w:ascii="Times New Roman" w:eastAsia="Calibri" w:hAnsi="Times New Roman" w:cs="Times New Roman"/>
          <w:sz w:val="24"/>
        </w:rPr>
        <w:t>» – «Липецкая генерация», ОГУП «</w:t>
      </w:r>
      <w:proofErr w:type="spellStart"/>
      <w:r w:rsidRPr="003A124A">
        <w:rPr>
          <w:rFonts w:ascii="Times New Roman" w:eastAsia="Calibri" w:hAnsi="Times New Roman" w:cs="Times New Roman"/>
          <w:sz w:val="24"/>
        </w:rPr>
        <w:t>Липецкоблводоканал</w:t>
      </w:r>
      <w:proofErr w:type="spellEnd"/>
      <w:r w:rsidRPr="003A124A">
        <w:rPr>
          <w:rFonts w:ascii="Times New Roman" w:eastAsia="Calibri" w:hAnsi="Times New Roman" w:cs="Times New Roman"/>
          <w:sz w:val="24"/>
        </w:rPr>
        <w:t xml:space="preserve">», АО «Газпром </w:t>
      </w:r>
      <w:proofErr w:type="spellStart"/>
      <w:r w:rsidRPr="003A124A">
        <w:rPr>
          <w:rFonts w:ascii="Times New Roman" w:eastAsia="Calibri" w:hAnsi="Times New Roman" w:cs="Times New Roman"/>
          <w:sz w:val="24"/>
        </w:rPr>
        <w:t>межрегионгаз</w:t>
      </w:r>
      <w:proofErr w:type="spellEnd"/>
      <w:r w:rsidRPr="003A124A">
        <w:rPr>
          <w:rFonts w:ascii="Times New Roman" w:eastAsia="Calibri" w:hAnsi="Times New Roman" w:cs="Times New Roman"/>
          <w:sz w:val="24"/>
        </w:rPr>
        <w:t xml:space="preserve"> Липецк», собственниками жилых помещений (на основании ч. 2 ст. 164 Жилищного кодекса РФ) и компаниями, управляющими многоквартирными домами (ч. 3 ст. 164 Жилищного кодекса РФ), заключены договоры на оказание коммунальных услуг.</w:t>
      </w:r>
    </w:p>
    <w:p w:rsidR="004A3997" w:rsidRPr="003A124A" w:rsidRDefault="004A3997" w:rsidP="004A3997">
      <w:pPr>
        <w:spacing w:after="0" w:line="240" w:lineRule="auto"/>
        <w:jc w:val="both"/>
        <w:rPr>
          <w:rFonts w:ascii="Times New Roman" w:eastAsia="Calibri" w:hAnsi="Times New Roman" w:cs="Times New Roman"/>
          <w:sz w:val="24"/>
        </w:rPr>
      </w:pPr>
    </w:p>
    <w:p w:rsidR="004A3997" w:rsidRPr="003A124A" w:rsidRDefault="004A3997" w:rsidP="004A3997">
      <w:pPr>
        <w:spacing w:after="0" w:line="240" w:lineRule="auto"/>
        <w:jc w:val="both"/>
        <w:rPr>
          <w:rFonts w:ascii="Times New Roman" w:eastAsia="Calibri" w:hAnsi="Times New Roman" w:cs="Times New Roman"/>
          <w:sz w:val="24"/>
        </w:rPr>
      </w:pPr>
      <w:r w:rsidRPr="003A124A">
        <w:rPr>
          <w:rFonts w:ascii="Times New Roman" w:eastAsia="Calibri" w:hAnsi="Times New Roman" w:cs="Times New Roman"/>
          <w:sz w:val="24"/>
        </w:rPr>
        <w:t>1.1.</w:t>
      </w:r>
      <w:r w:rsidRPr="003A124A">
        <w:rPr>
          <w:rFonts w:ascii="Times New Roman" w:eastAsia="Calibri" w:hAnsi="Times New Roman" w:cs="Times New Roman"/>
          <w:sz w:val="24"/>
        </w:rPr>
        <w:tab/>
        <w:t>Первичное зачисление жилищно-коммунальных платежей осуществляется в зависимости от способа оплаты:</w:t>
      </w:r>
    </w:p>
    <w:p w:rsidR="004A3997" w:rsidRPr="003A124A" w:rsidRDefault="004A3997" w:rsidP="004A3997">
      <w:pPr>
        <w:spacing w:after="0" w:line="240" w:lineRule="auto"/>
        <w:jc w:val="both"/>
        <w:rPr>
          <w:rFonts w:ascii="Times New Roman" w:eastAsia="Calibri" w:hAnsi="Times New Roman" w:cs="Times New Roman"/>
          <w:sz w:val="24"/>
        </w:rPr>
      </w:pPr>
      <w:r w:rsidRPr="003A124A">
        <w:rPr>
          <w:rFonts w:ascii="Times New Roman" w:eastAsia="Calibri" w:hAnsi="Times New Roman" w:cs="Times New Roman"/>
          <w:sz w:val="24"/>
        </w:rPr>
        <w:t>1)</w:t>
      </w:r>
      <w:r w:rsidRPr="003A124A">
        <w:rPr>
          <w:rFonts w:ascii="Times New Roman" w:eastAsia="Calibri" w:hAnsi="Times New Roman" w:cs="Times New Roman"/>
          <w:sz w:val="24"/>
        </w:rPr>
        <w:tab/>
        <w:t xml:space="preserve">безналичная оплата (интернет-сервис кредитной организации, интернет-сервис </w:t>
      </w:r>
      <w:proofErr w:type="spellStart"/>
      <w:r w:rsidRPr="003A124A">
        <w:rPr>
          <w:rFonts w:ascii="Times New Roman" w:eastAsia="Calibri" w:hAnsi="Times New Roman" w:cs="Times New Roman"/>
          <w:sz w:val="24"/>
        </w:rPr>
        <w:t>ресурсоснабжающей</w:t>
      </w:r>
      <w:proofErr w:type="spellEnd"/>
      <w:r w:rsidRPr="003A124A">
        <w:rPr>
          <w:rFonts w:ascii="Times New Roman" w:eastAsia="Calibri" w:hAnsi="Times New Roman" w:cs="Times New Roman"/>
          <w:sz w:val="24"/>
        </w:rPr>
        <w:t xml:space="preserve"> организации, терминалы и банкоматы кредитной организации) - денежные средства зачисляются на корреспондентский счет кредитной организации с последующим перечислением на расчетный счет </w:t>
      </w:r>
      <w:proofErr w:type="spellStart"/>
      <w:r w:rsidRPr="003A124A">
        <w:rPr>
          <w:rFonts w:ascii="Times New Roman" w:eastAsia="Calibri" w:hAnsi="Times New Roman" w:cs="Times New Roman"/>
          <w:sz w:val="24"/>
        </w:rPr>
        <w:t>ресурсоснабжающей</w:t>
      </w:r>
      <w:proofErr w:type="spellEnd"/>
      <w:r w:rsidRPr="003A124A">
        <w:rPr>
          <w:rFonts w:ascii="Times New Roman" w:eastAsia="Calibri" w:hAnsi="Times New Roman" w:cs="Times New Roman"/>
          <w:sz w:val="24"/>
        </w:rPr>
        <w:t xml:space="preserve"> организации;</w:t>
      </w:r>
    </w:p>
    <w:p w:rsidR="004A3997" w:rsidRPr="003A124A" w:rsidRDefault="004A3997" w:rsidP="004A3997">
      <w:pPr>
        <w:spacing w:after="0" w:line="240" w:lineRule="auto"/>
        <w:jc w:val="both"/>
        <w:rPr>
          <w:rFonts w:ascii="Times New Roman" w:eastAsia="Calibri" w:hAnsi="Times New Roman" w:cs="Times New Roman"/>
          <w:sz w:val="24"/>
        </w:rPr>
      </w:pPr>
      <w:r w:rsidRPr="003A124A">
        <w:rPr>
          <w:rFonts w:ascii="Times New Roman" w:eastAsia="Calibri" w:hAnsi="Times New Roman" w:cs="Times New Roman"/>
          <w:sz w:val="24"/>
        </w:rPr>
        <w:t>2)</w:t>
      </w:r>
      <w:r w:rsidRPr="003A124A">
        <w:rPr>
          <w:rFonts w:ascii="Times New Roman" w:eastAsia="Calibri" w:hAnsi="Times New Roman" w:cs="Times New Roman"/>
          <w:sz w:val="24"/>
        </w:rPr>
        <w:tab/>
        <w:t>наличная оплата:</w:t>
      </w:r>
    </w:p>
    <w:p w:rsidR="004A3997" w:rsidRPr="003A124A" w:rsidRDefault="004A3997" w:rsidP="004A3997">
      <w:pPr>
        <w:spacing w:after="0" w:line="240" w:lineRule="auto"/>
        <w:jc w:val="both"/>
        <w:rPr>
          <w:rFonts w:ascii="Times New Roman" w:eastAsia="Calibri" w:hAnsi="Times New Roman" w:cs="Times New Roman"/>
          <w:sz w:val="24"/>
        </w:rPr>
      </w:pPr>
      <w:r w:rsidRPr="003A124A">
        <w:rPr>
          <w:rFonts w:ascii="Times New Roman" w:eastAsia="Calibri" w:hAnsi="Times New Roman" w:cs="Times New Roman"/>
          <w:sz w:val="24"/>
        </w:rPr>
        <w:t>-</w:t>
      </w:r>
      <w:r w:rsidRPr="003A124A">
        <w:rPr>
          <w:rFonts w:ascii="Times New Roman" w:eastAsia="Calibri" w:hAnsi="Times New Roman" w:cs="Times New Roman"/>
          <w:sz w:val="24"/>
        </w:rPr>
        <w:tab/>
        <w:t xml:space="preserve">центры обслуживания клиентов </w:t>
      </w:r>
      <w:proofErr w:type="spellStart"/>
      <w:r w:rsidRPr="003A124A">
        <w:rPr>
          <w:rFonts w:ascii="Times New Roman" w:eastAsia="Calibri" w:hAnsi="Times New Roman" w:cs="Times New Roman"/>
          <w:sz w:val="24"/>
        </w:rPr>
        <w:t>ресурсоснабжающих</w:t>
      </w:r>
      <w:proofErr w:type="spellEnd"/>
      <w:r w:rsidRPr="003A124A">
        <w:rPr>
          <w:rFonts w:ascii="Times New Roman" w:eastAsia="Calibri" w:hAnsi="Times New Roman" w:cs="Times New Roman"/>
          <w:sz w:val="24"/>
        </w:rPr>
        <w:t xml:space="preserve"> организаций - денежные средства зачисляются непосредственно на их расчетный счёт;</w:t>
      </w:r>
    </w:p>
    <w:p w:rsidR="004A3997" w:rsidRPr="003A124A" w:rsidRDefault="004A3997" w:rsidP="004A3997">
      <w:pPr>
        <w:spacing w:after="0" w:line="240" w:lineRule="auto"/>
        <w:jc w:val="both"/>
        <w:rPr>
          <w:rFonts w:ascii="Times New Roman" w:eastAsia="Calibri" w:hAnsi="Times New Roman" w:cs="Times New Roman"/>
          <w:sz w:val="24"/>
        </w:rPr>
      </w:pPr>
      <w:r w:rsidRPr="003A124A">
        <w:rPr>
          <w:rFonts w:ascii="Times New Roman" w:eastAsia="Calibri" w:hAnsi="Times New Roman" w:cs="Times New Roman"/>
          <w:sz w:val="24"/>
        </w:rPr>
        <w:t>-</w:t>
      </w:r>
      <w:r w:rsidRPr="003A124A">
        <w:rPr>
          <w:rFonts w:ascii="Times New Roman" w:eastAsia="Calibri" w:hAnsi="Times New Roman" w:cs="Times New Roman"/>
          <w:sz w:val="24"/>
        </w:rPr>
        <w:tab/>
        <w:t xml:space="preserve">кредитные организации - денежные средства зачисляются на корреспондентский счёт кредитной организации с последующим перечислением на расчетный счёт </w:t>
      </w:r>
      <w:proofErr w:type="spellStart"/>
      <w:r w:rsidRPr="003A124A">
        <w:rPr>
          <w:rFonts w:ascii="Times New Roman" w:eastAsia="Calibri" w:hAnsi="Times New Roman" w:cs="Times New Roman"/>
          <w:sz w:val="24"/>
        </w:rPr>
        <w:t>ресурсоснабжающих</w:t>
      </w:r>
      <w:proofErr w:type="spellEnd"/>
      <w:r w:rsidRPr="003A124A">
        <w:rPr>
          <w:rFonts w:ascii="Times New Roman" w:eastAsia="Calibri" w:hAnsi="Times New Roman" w:cs="Times New Roman"/>
          <w:sz w:val="24"/>
        </w:rPr>
        <w:t xml:space="preserve"> организаций;</w:t>
      </w:r>
    </w:p>
    <w:p w:rsidR="004A3997" w:rsidRPr="003A124A" w:rsidRDefault="004A3997" w:rsidP="004A3997">
      <w:pPr>
        <w:spacing w:after="0" w:line="240" w:lineRule="auto"/>
        <w:jc w:val="both"/>
        <w:rPr>
          <w:rFonts w:ascii="Times New Roman" w:eastAsia="Calibri" w:hAnsi="Times New Roman" w:cs="Times New Roman"/>
          <w:sz w:val="24"/>
        </w:rPr>
      </w:pPr>
      <w:r w:rsidRPr="003A124A">
        <w:rPr>
          <w:rFonts w:ascii="Times New Roman" w:eastAsia="Calibri" w:hAnsi="Times New Roman" w:cs="Times New Roman"/>
          <w:sz w:val="24"/>
        </w:rPr>
        <w:t>-</w:t>
      </w:r>
      <w:r w:rsidRPr="003A124A">
        <w:rPr>
          <w:rFonts w:ascii="Times New Roman" w:eastAsia="Calibri" w:hAnsi="Times New Roman" w:cs="Times New Roman"/>
          <w:sz w:val="24"/>
        </w:rPr>
        <w:tab/>
        <w:t xml:space="preserve">филиалы ФГУП «Почта России» - денежные средства зачисляются на расчетный счёт «Почты России» с последующим перечислением на расчётный счёт </w:t>
      </w:r>
      <w:proofErr w:type="spellStart"/>
      <w:r w:rsidRPr="003A124A">
        <w:rPr>
          <w:rFonts w:ascii="Times New Roman" w:eastAsia="Calibri" w:hAnsi="Times New Roman" w:cs="Times New Roman"/>
          <w:sz w:val="24"/>
        </w:rPr>
        <w:t>ресурсоснабжающих</w:t>
      </w:r>
      <w:proofErr w:type="spellEnd"/>
      <w:r w:rsidRPr="003A124A">
        <w:rPr>
          <w:rFonts w:ascii="Times New Roman" w:eastAsia="Calibri" w:hAnsi="Times New Roman" w:cs="Times New Roman"/>
          <w:sz w:val="24"/>
        </w:rPr>
        <w:t xml:space="preserve"> организаций.</w:t>
      </w:r>
    </w:p>
    <w:p w:rsidR="004A3997" w:rsidRPr="003A124A" w:rsidRDefault="004A3997" w:rsidP="004A3997">
      <w:pPr>
        <w:spacing w:after="0" w:line="240" w:lineRule="auto"/>
        <w:jc w:val="both"/>
        <w:rPr>
          <w:rFonts w:ascii="Times New Roman" w:eastAsia="Calibri" w:hAnsi="Times New Roman" w:cs="Times New Roman"/>
          <w:sz w:val="24"/>
        </w:rPr>
      </w:pPr>
    </w:p>
    <w:p w:rsidR="004A3997" w:rsidRPr="003A124A" w:rsidRDefault="004A3997" w:rsidP="004A3997">
      <w:pPr>
        <w:spacing w:after="0" w:line="240" w:lineRule="auto"/>
        <w:jc w:val="both"/>
        <w:rPr>
          <w:rFonts w:ascii="Times New Roman" w:eastAsia="Calibri" w:hAnsi="Times New Roman" w:cs="Times New Roman"/>
          <w:sz w:val="24"/>
        </w:rPr>
      </w:pPr>
      <w:r w:rsidRPr="003A124A">
        <w:rPr>
          <w:rFonts w:ascii="Times New Roman" w:eastAsia="Calibri" w:hAnsi="Times New Roman" w:cs="Times New Roman"/>
          <w:sz w:val="24"/>
        </w:rPr>
        <w:t>1.2.</w:t>
      </w:r>
      <w:r w:rsidRPr="003A124A">
        <w:rPr>
          <w:rFonts w:ascii="Times New Roman" w:eastAsia="Calibri" w:hAnsi="Times New Roman" w:cs="Times New Roman"/>
          <w:sz w:val="24"/>
        </w:rPr>
        <w:tab/>
        <w:t xml:space="preserve">«Расщепление» (распределение) жилищно-коммунальных платежей осуществляется в зависимости от вариантов расчётов. </w:t>
      </w:r>
    </w:p>
    <w:p w:rsidR="004A3997" w:rsidRPr="003A124A" w:rsidRDefault="004A3997" w:rsidP="004A3997">
      <w:pPr>
        <w:spacing w:after="0" w:line="240" w:lineRule="auto"/>
        <w:jc w:val="both"/>
        <w:rPr>
          <w:rFonts w:ascii="Times New Roman" w:eastAsia="Calibri" w:hAnsi="Times New Roman" w:cs="Times New Roman"/>
          <w:sz w:val="24"/>
        </w:rPr>
      </w:pPr>
      <w:r w:rsidRPr="003A124A">
        <w:rPr>
          <w:rFonts w:ascii="Times New Roman" w:eastAsia="Calibri" w:hAnsi="Times New Roman" w:cs="Times New Roman"/>
          <w:sz w:val="24"/>
        </w:rPr>
        <w:t xml:space="preserve">В случае оплаты платежей гражданами непосредственно </w:t>
      </w:r>
      <w:proofErr w:type="spellStart"/>
      <w:r w:rsidRPr="003A124A">
        <w:rPr>
          <w:rFonts w:ascii="Times New Roman" w:eastAsia="Calibri" w:hAnsi="Times New Roman" w:cs="Times New Roman"/>
          <w:sz w:val="24"/>
        </w:rPr>
        <w:t>ресурсоснабжающей</w:t>
      </w:r>
      <w:proofErr w:type="spellEnd"/>
      <w:r w:rsidRPr="003A124A">
        <w:rPr>
          <w:rFonts w:ascii="Times New Roman" w:eastAsia="Calibri" w:hAnsi="Times New Roman" w:cs="Times New Roman"/>
          <w:sz w:val="24"/>
        </w:rPr>
        <w:t xml:space="preserve"> организации, денежные средства зачисляются на корреспондентский счет кредитной организации с </w:t>
      </w:r>
      <w:r w:rsidRPr="003A124A">
        <w:rPr>
          <w:rFonts w:ascii="Times New Roman" w:eastAsia="Calibri" w:hAnsi="Times New Roman" w:cs="Times New Roman"/>
          <w:sz w:val="24"/>
        </w:rPr>
        <w:lastRenderedPageBreak/>
        <w:t xml:space="preserve">последующим перечислением на расчетный счет </w:t>
      </w:r>
      <w:proofErr w:type="spellStart"/>
      <w:r w:rsidRPr="003A124A">
        <w:rPr>
          <w:rFonts w:ascii="Times New Roman" w:eastAsia="Calibri" w:hAnsi="Times New Roman" w:cs="Times New Roman"/>
          <w:sz w:val="24"/>
        </w:rPr>
        <w:t>ресурсоснабжающей</w:t>
      </w:r>
      <w:proofErr w:type="spellEnd"/>
      <w:r w:rsidRPr="003A124A">
        <w:rPr>
          <w:rFonts w:ascii="Times New Roman" w:eastAsia="Calibri" w:hAnsi="Times New Roman" w:cs="Times New Roman"/>
          <w:sz w:val="24"/>
        </w:rPr>
        <w:t xml:space="preserve"> организации, при этом «расщепление» (распределение) не осуществляется. </w:t>
      </w:r>
    </w:p>
    <w:p w:rsidR="004A3997" w:rsidRPr="003A124A" w:rsidRDefault="004A3997" w:rsidP="000B0FEE">
      <w:pPr>
        <w:spacing w:after="0" w:line="240" w:lineRule="auto"/>
        <w:ind w:firstLine="708"/>
        <w:jc w:val="both"/>
        <w:rPr>
          <w:rFonts w:ascii="Times New Roman" w:eastAsia="Calibri" w:hAnsi="Times New Roman" w:cs="Times New Roman"/>
          <w:sz w:val="24"/>
        </w:rPr>
      </w:pPr>
      <w:r w:rsidRPr="003A124A">
        <w:rPr>
          <w:rFonts w:ascii="Times New Roman" w:eastAsia="Calibri" w:hAnsi="Times New Roman" w:cs="Times New Roman"/>
          <w:sz w:val="24"/>
        </w:rPr>
        <w:t xml:space="preserve">В случае оплаты гражданами счётов, предъявленных к оплате управляющими организациями или товариществами собственников жилья (УК, ТСЖ), которые обслуживают конкретный многоквартирный дом, за коммунальные услуги, потребленные при содержании общедомового имущества, «расщепление» (распределение) производится данной управляющей организацией, которая после распределения производит оплату </w:t>
      </w:r>
      <w:proofErr w:type="spellStart"/>
      <w:r w:rsidRPr="003A124A">
        <w:rPr>
          <w:rFonts w:ascii="Times New Roman" w:eastAsia="Calibri" w:hAnsi="Times New Roman" w:cs="Times New Roman"/>
          <w:sz w:val="24"/>
        </w:rPr>
        <w:t>ресурсоснабжающей</w:t>
      </w:r>
      <w:proofErr w:type="spellEnd"/>
      <w:r w:rsidRPr="003A124A">
        <w:rPr>
          <w:rFonts w:ascii="Times New Roman" w:eastAsia="Calibri" w:hAnsi="Times New Roman" w:cs="Times New Roman"/>
          <w:sz w:val="24"/>
        </w:rPr>
        <w:t xml:space="preserve"> организации.</w:t>
      </w:r>
    </w:p>
    <w:p w:rsidR="004A3997" w:rsidRPr="003A124A" w:rsidRDefault="004A3997" w:rsidP="004A3997">
      <w:pPr>
        <w:spacing w:after="0" w:line="240" w:lineRule="auto"/>
        <w:jc w:val="both"/>
        <w:rPr>
          <w:rFonts w:ascii="Times New Roman" w:eastAsia="Calibri" w:hAnsi="Times New Roman" w:cs="Times New Roman"/>
          <w:sz w:val="24"/>
        </w:rPr>
      </w:pPr>
    </w:p>
    <w:p w:rsidR="004A3997" w:rsidRPr="003A124A" w:rsidRDefault="004A3997" w:rsidP="004A3997">
      <w:pPr>
        <w:spacing w:after="0" w:line="240" w:lineRule="auto"/>
        <w:jc w:val="both"/>
        <w:rPr>
          <w:rFonts w:ascii="Times New Roman" w:eastAsia="Calibri" w:hAnsi="Times New Roman" w:cs="Times New Roman"/>
          <w:sz w:val="24"/>
        </w:rPr>
      </w:pPr>
      <w:r w:rsidRPr="003A124A">
        <w:rPr>
          <w:rFonts w:ascii="Times New Roman" w:eastAsia="Calibri" w:hAnsi="Times New Roman" w:cs="Times New Roman"/>
          <w:sz w:val="24"/>
        </w:rPr>
        <w:t>1.3.</w:t>
      </w:r>
      <w:r w:rsidRPr="003A124A">
        <w:rPr>
          <w:rFonts w:ascii="Times New Roman" w:eastAsia="Calibri" w:hAnsi="Times New Roman" w:cs="Times New Roman"/>
          <w:sz w:val="24"/>
        </w:rPr>
        <w:tab/>
        <w:t xml:space="preserve">В многоквартирных домах начисление размера платы за коммунальные услуги на индивидуальное потребление, а также учёт платежей по лицевым счетам физических лиц осуществляют </w:t>
      </w:r>
      <w:proofErr w:type="spellStart"/>
      <w:r w:rsidRPr="003A124A">
        <w:rPr>
          <w:rFonts w:ascii="Times New Roman" w:eastAsia="Calibri" w:hAnsi="Times New Roman" w:cs="Times New Roman"/>
          <w:sz w:val="24"/>
        </w:rPr>
        <w:t>ресурсоснабжающие</w:t>
      </w:r>
      <w:proofErr w:type="spellEnd"/>
      <w:r w:rsidRPr="003A124A">
        <w:rPr>
          <w:rFonts w:ascii="Times New Roman" w:eastAsia="Calibri" w:hAnsi="Times New Roman" w:cs="Times New Roman"/>
          <w:sz w:val="24"/>
        </w:rPr>
        <w:t xml:space="preserve"> организации.</w:t>
      </w:r>
    </w:p>
    <w:p w:rsidR="004A3997" w:rsidRPr="003A124A" w:rsidRDefault="004A3997" w:rsidP="004A3997">
      <w:pPr>
        <w:spacing w:after="0" w:line="240" w:lineRule="auto"/>
        <w:jc w:val="both"/>
        <w:rPr>
          <w:rFonts w:ascii="Times New Roman" w:eastAsia="Calibri" w:hAnsi="Times New Roman" w:cs="Times New Roman"/>
          <w:sz w:val="24"/>
        </w:rPr>
      </w:pPr>
      <w:r w:rsidRPr="003A124A">
        <w:rPr>
          <w:rFonts w:ascii="Times New Roman" w:eastAsia="Calibri" w:hAnsi="Times New Roman" w:cs="Times New Roman"/>
          <w:sz w:val="24"/>
        </w:rPr>
        <w:t>Начисление размера платы за коммунальные услуги, потребленные при содержании общего имущества, производит управляющая компания (ТСЖ) или РКЦ/ИРК в рамках договора с УК (ТСЖ). При этом поступление платежей происходит на расчетный счёт управляющей компании (ТСЖ) и учёт платежей осуществляет управляющая компания (ТСЖ).</w:t>
      </w:r>
    </w:p>
    <w:p w:rsidR="004A3997" w:rsidRPr="003A124A" w:rsidRDefault="004A3997" w:rsidP="004A3997">
      <w:pPr>
        <w:spacing w:after="0" w:line="240" w:lineRule="auto"/>
        <w:jc w:val="both"/>
        <w:rPr>
          <w:rFonts w:ascii="Times New Roman" w:eastAsia="Calibri" w:hAnsi="Times New Roman" w:cs="Times New Roman"/>
          <w:sz w:val="24"/>
        </w:rPr>
      </w:pPr>
      <w:r w:rsidRPr="003A124A">
        <w:rPr>
          <w:rFonts w:ascii="Times New Roman" w:eastAsia="Calibri" w:hAnsi="Times New Roman" w:cs="Times New Roman"/>
          <w:sz w:val="24"/>
        </w:rPr>
        <w:t xml:space="preserve">За исключением случаев, когда согласно условиям договора </w:t>
      </w:r>
      <w:proofErr w:type="spellStart"/>
      <w:r w:rsidRPr="003A124A">
        <w:rPr>
          <w:rFonts w:ascii="Times New Roman" w:eastAsia="Calibri" w:hAnsi="Times New Roman" w:cs="Times New Roman"/>
          <w:sz w:val="24"/>
        </w:rPr>
        <w:t>ресурсоснабжения</w:t>
      </w:r>
      <w:proofErr w:type="spellEnd"/>
      <w:r w:rsidRPr="003A124A">
        <w:rPr>
          <w:rFonts w:ascii="Times New Roman" w:eastAsia="Calibri" w:hAnsi="Times New Roman" w:cs="Times New Roman"/>
          <w:sz w:val="24"/>
        </w:rPr>
        <w:t xml:space="preserve">, заключенного между управляющей компанией и </w:t>
      </w:r>
      <w:proofErr w:type="spellStart"/>
      <w:r w:rsidRPr="003A124A">
        <w:rPr>
          <w:rFonts w:ascii="Times New Roman" w:eastAsia="Calibri" w:hAnsi="Times New Roman" w:cs="Times New Roman"/>
          <w:sz w:val="24"/>
        </w:rPr>
        <w:t>ресурсоснабжающей</w:t>
      </w:r>
      <w:proofErr w:type="spellEnd"/>
      <w:r w:rsidRPr="003A124A">
        <w:rPr>
          <w:rFonts w:ascii="Times New Roman" w:eastAsia="Calibri" w:hAnsi="Times New Roman" w:cs="Times New Roman"/>
          <w:sz w:val="24"/>
        </w:rPr>
        <w:t xml:space="preserve"> организацией, управляющая компания поручает </w:t>
      </w:r>
      <w:proofErr w:type="spellStart"/>
      <w:r w:rsidRPr="003A124A">
        <w:rPr>
          <w:rFonts w:ascii="Times New Roman" w:eastAsia="Calibri" w:hAnsi="Times New Roman" w:cs="Times New Roman"/>
          <w:sz w:val="24"/>
        </w:rPr>
        <w:t>ресурсоснабжающей</w:t>
      </w:r>
      <w:proofErr w:type="spellEnd"/>
      <w:r w:rsidRPr="003A124A">
        <w:rPr>
          <w:rFonts w:ascii="Times New Roman" w:eastAsia="Calibri" w:hAnsi="Times New Roman" w:cs="Times New Roman"/>
          <w:sz w:val="24"/>
        </w:rPr>
        <w:t xml:space="preserve"> организации производить начисление платы. При наличии подобного поручения оплата за коммунальные услуги вносится потребителями непосредственно на расчётный счёт </w:t>
      </w:r>
      <w:proofErr w:type="spellStart"/>
      <w:r w:rsidRPr="003A124A">
        <w:rPr>
          <w:rFonts w:ascii="Times New Roman" w:eastAsia="Calibri" w:hAnsi="Times New Roman" w:cs="Times New Roman"/>
          <w:sz w:val="24"/>
        </w:rPr>
        <w:t>ресурсоснабжающей</w:t>
      </w:r>
      <w:proofErr w:type="spellEnd"/>
      <w:r w:rsidRPr="003A124A">
        <w:rPr>
          <w:rFonts w:ascii="Times New Roman" w:eastAsia="Calibri" w:hAnsi="Times New Roman" w:cs="Times New Roman"/>
          <w:sz w:val="24"/>
        </w:rPr>
        <w:t xml:space="preserve"> организации. В данном случае учёт платежей осуществляет </w:t>
      </w:r>
      <w:proofErr w:type="spellStart"/>
      <w:r w:rsidRPr="003A124A">
        <w:rPr>
          <w:rFonts w:ascii="Times New Roman" w:eastAsia="Calibri" w:hAnsi="Times New Roman" w:cs="Times New Roman"/>
          <w:sz w:val="24"/>
        </w:rPr>
        <w:t>ресурсоснабжающая</w:t>
      </w:r>
      <w:proofErr w:type="spellEnd"/>
      <w:r w:rsidRPr="003A124A">
        <w:rPr>
          <w:rFonts w:ascii="Times New Roman" w:eastAsia="Calibri" w:hAnsi="Times New Roman" w:cs="Times New Roman"/>
          <w:sz w:val="24"/>
        </w:rPr>
        <w:t xml:space="preserve"> организация.</w:t>
      </w:r>
    </w:p>
    <w:p w:rsidR="004A3997" w:rsidRPr="003A124A" w:rsidRDefault="004A3997" w:rsidP="004A3997">
      <w:pPr>
        <w:spacing w:after="0" w:line="240" w:lineRule="auto"/>
        <w:jc w:val="both"/>
        <w:rPr>
          <w:rFonts w:ascii="Times New Roman" w:eastAsia="Calibri" w:hAnsi="Times New Roman" w:cs="Times New Roman"/>
          <w:sz w:val="24"/>
        </w:rPr>
      </w:pPr>
    </w:p>
    <w:p w:rsidR="004A3997" w:rsidRPr="003A124A" w:rsidRDefault="004A3997" w:rsidP="004A3997">
      <w:pPr>
        <w:spacing w:after="0" w:line="240" w:lineRule="auto"/>
        <w:jc w:val="both"/>
        <w:rPr>
          <w:rFonts w:ascii="Times New Roman" w:eastAsia="Calibri" w:hAnsi="Times New Roman" w:cs="Times New Roman"/>
          <w:sz w:val="24"/>
        </w:rPr>
      </w:pPr>
      <w:r w:rsidRPr="003A124A">
        <w:rPr>
          <w:rFonts w:ascii="Times New Roman" w:eastAsia="Calibri" w:hAnsi="Times New Roman" w:cs="Times New Roman"/>
          <w:sz w:val="24"/>
        </w:rPr>
        <w:t>1.4.</w:t>
      </w:r>
      <w:r w:rsidRPr="003A124A">
        <w:rPr>
          <w:rFonts w:ascii="Times New Roman" w:eastAsia="Calibri" w:hAnsi="Times New Roman" w:cs="Times New Roman"/>
          <w:sz w:val="24"/>
        </w:rPr>
        <w:tab/>
        <w:t xml:space="preserve">Формирование и направление платежных документов (счетов-извещений) собственникам жилых помещений в многоквартирных домах Липецкой области осуществляется </w:t>
      </w:r>
      <w:proofErr w:type="spellStart"/>
      <w:r w:rsidRPr="003A124A">
        <w:rPr>
          <w:rFonts w:ascii="Times New Roman" w:eastAsia="Calibri" w:hAnsi="Times New Roman" w:cs="Times New Roman"/>
          <w:sz w:val="24"/>
        </w:rPr>
        <w:t>ресурсоснабжающими</w:t>
      </w:r>
      <w:proofErr w:type="spellEnd"/>
      <w:r w:rsidRPr="003A124A">
        <w:rPr>
          <w:rFonts w:ascii="Times New Roman" w:eastAsia="Calibri" w:hAnsi="Times New Roman" w:cs="Times New Roman"/>
          <w:sz w:val="24"/>
        </w:rPr>
        <w:t xml:space="preserve"> организациями. </w:t>
      </w:r>
    </w:p>
    <w:p w:rsidR="004A3997" w:rsidRPr="003A124A" w:rsidRDefault="004A3997" w:rsidP="004A3997">
      <w:pPr>
        <w:spacing w:after="0" w:line="240" w:lineRule="auto"/>
        <w:jc w:val="both"/>
        <w:rPr>
          <w:rFonts w:ascii="Times New Roman" w:eastAsia="Calibri" w:hAnsi="Times New Roman" w:cs="Times New Roman"/>
          <w:sz w:val="24"/>
        </w:rPr>
      </w:pPr>
      <w:r w:rsidRPr="003A124A">
        <w:rPr>
          <w:rFonts w:ascii="Times New Roman" w:eastAsia="Calibri" w:hAnsi="Times New Roman" w:cs="Times New Roman"/>
          <w:sz w:val="24"/>
        </w:rPr>
        <w:t>В случае оплаты гражданами счетов, предъявленных к оплате управляющими организациями (УК, ТСЖ) за коммунальные услуги, потребленные при содержании общедомового имущества, формирование и направление платежных документов осуществляет управляющая организация, обслуживающая конкретный многоквартирный дом.</w:t>
      </w:r>
    </w:p>
    <w:p w:rsidR="004A3997" w:rsidRPr="003A124A" w:rsidRDefault="004A3997" w:rsidP="004A3997">
      <w:pPr>
        <w:spacing w:after="0" w:line="240" w:lineRule="auto"/>
        <w:jc w:val="both"/>
        <w:rPr>
          <w:rFonts w:ascii="Times New Roman" w:eastAsia="Calibri" w:hAnsi="Times New Roman" w:cs="Times New Roman"/>
          <w:sz w:val="24"/>
        </w:rPr>
      </w:pPr>
    </w:p>
    <w:p w:rsidR="004A3997" w:rsidRPr="003A124A" w:rsidRDefault="004A3997" w:rsidP="004A3997">
      <w:pPr>
        <w:spacing w:after="0" w:line="240" w:lineRule="auto"/>
        <w:jc w:val="both"/>
        <w:rPr>
          <w:rFonts w:ascii="Times New Roman" w:eastAsia="Calibri" w:hAnsi="Times New Roman" w:cs="Times New Roman"/>
          <w:sz w:val="24"/>
        </w:rPr>
      </w:pPr>
      <w:r w:rsidRPr="003A124A">
        <w:rPr>
          <w:rFonts w:ascii="Times New Roman" w:eastAsia="Calibri" w:hAnsi="Times New Roman" w:cs="Times New Roman"/>
          <w:sz w:val="24"/>
        </w:rPr>
        <w:t>1.5.</w:t>
      </w:r>
      <w:r w:rsidRPr="003A124A">
        <w:rPr>
          <w:rFonts w:ascii="Times New Roman" w:eastAsia="Calibri" w:hAnsi="Times New Roman" w:cs="Times New Roman"/>
          <w:sz w:val="24"/>
        </w:rPr>
        <w:tab/>
        <w:t xml:space="preserve">Источник получения информации о размерах оплаченных конкретными собственниками жилых помещений в многоквартирных домах жилищно-коммунальных платежей зависит от варианта расчётов (в случае оплаты платежей гражданами непосредственно гарантирующему поставщику, граждане самостоятельно передают показания приборов учёта, при отсутствии приборов учёта – по установленным нормативам, в случае оплаты гражданами счётов, предъявленных к оплате управляющими организациями или товариществами собственников жилья, которые обслуживают конкретный многоквартирный дом, информацию передают УК и ТСЖ). </w:t>
      </w:r>
    </w:p>
    <w:p w:rsidR="004A3997" w:rsidRPr="003A124A" w:rsidRDefault="004A3997" w:rsidP="004A3997">
      <w:pPr>
        <w:spacing w:after="0" w:line="240" w:lineRule="auto"/>
        <w:jc w:val="both"/>
        <w:rPr>
          <w:rFonts w:ascii="Times New Roman" w:eastAsia="Calibri" w:hAnsi="Times New Roman" w:cs="Times New Roman"/>
          <w:sz w:val="24"/>
        </w:rPr>
      </w:pPr>
    </w:p>
    <w:p w:rsidR="004A3997" w:rsidRPr="003A124A" w:rsidRDefault="004A3997" w:rsidP="004A3997">
      <w:pPr>
        <w:spacing w:after="0" w:line="240" w:lineRule="auto"/>
        <w:jc w:val="both"/>
        <w:rPr>
          <w:rFonts w:ascii="Times New Roman" w:eastAsia="Calibri" w:hAnsi="Times New Roman" w:cs="Times New Roman"/>
          <w:sz w:val="24"/>
        </w:rPr>
      </w:pPr>
      <w:r w:rsidRPr="003A124A">
        <w:rPr>
          <w:rFonts w:ascii="Times New Roman" w:eastAsia="Calibri" w:hAnsi="Times New Roman" w:cs="Times New Roman"/>
          <w:sz w:val="24"/>
        </w:rPr>
        <w:t>1.6.</w:t>
      </w:r>
      <w:r w:rsidRPr="003A124A">
        <w:rPr>
          <w:rFonts w:ascii="Times New Roman" w:eastAsia="Calibri" w:hAnsi="Times New Roman" w:cs="Times New Roman"/>
          <w:sz w:val="24"/>
        </w:rPr>
        <w:tab/>
        <w:t xml:space="preserve">В настоящее время у ОАО «ЛЭСК» (электроэнергия – гарантирующий поставщик по г. Липецку и Липецкой области) прямые договоры заключены с 98,72% населения Липецкой области, </w:t>
      </w:r>
    </w:p>
    <w:p w:rsidR="004A3997" w:rsidRPr="003A124A" w:rsidRDefault="004A3997" w:rsidP="004A3997">
      <w:pPr>
        <w:spacing w:after="0" w:line="240" w:lineRule="auto"/>
        <w:jc w:val="both"/>
        <w:rPr>
          <w:rFonts w:ascii="Times New Roman" w:eastAsia="Calibri" w:hAnsi="Times New Roman" w:cs="Times New Roman"/>
          <w:sz w:val="24"/>
        </w:rPr>
      </w:pPr>
      <w:r w:rsidRPr="003A124A">
        <w:rPr>
          <w:rFonts w:ascii="Times New Roman" w:eastAsia="Calibri" w:hAnsi="Times New Roman" w:cs="Times New Roman"/>
          <w:sz w:val="24"/>
        </w:rPr>
        <w:t xml:space="preserve">АО «ЛГЭК» (поставщик электроэнергии, тепла, горячего и холодного водоснабжения по г. Липецку) имеет прямые договоры с населением г. Липецка, </w:t>
      </w:r>
    </w:p>
    <w:p w:rsidR="004A3997" w:rsidRPr="003A124A" w:rsidRDefault="004A3997" w:rsidP="004A3997">
      <w:pPr>
        <w:spacing w:after="0" w:line="240" w:lineRule="auto"/>
        <w:jc w:val="both"/>
        <w:rPr>
          <w:rFonts w:ascii="Times New Roman" w:eastAsia="Calibri" w:hAnsi="Times New Roman" w:cs="Times New Roman"/>
          <w:sz w:val="24"/>
        </w:rPr>
      </w:pPr>
      <w:r w:rsidRPr="003A124A">
        <w:rPr>
          <w:rFonts w:ascii="Times New Roman" w:eastAsia="Calibri" w:hAnsi="Times New Roman" w:cs="Times New Roman"/>
          <w:sz w:val="24"/>
        </w:rPr>
        <w:t>филиал ПАО «</w:t>
      </w:r>
      <w:proofErr w:type="spellStart"/>
      <w:r w:rsidRPr="003A124A">
        <w:rPr>
          <w:rFonts w:ascii="Times New Roman" w:eastAsia="Calibri" w:hAnsi="Times New Roman" w:cs="Times New Roman"/>
          <w:sz w:val="24"/>
        </w:rPr>
        <w:t>Квадра</w:t>
      </w:r>
      <w:proofErr w:type="spellEnd"/>
      <w:r w:rsidRPr="003A124A">
        <w:rPr>
          <w:rFonts w:ascii="Times New Roman" w:eastAsia="Calibri" w:hAnsi="Times New Roman" w:cs="Times New Roman"/>
          <w:sz w:val="24"/>
        </w:rPr>
        <w:t xml:space="preserve">» – «Липецкая генерация» (поставщик тепла, горячего водоснабжения по г. Липецку и Липецкой области) поставляет коммунальные ресурсы собственникам (нанимателям) жилых помещений в соответствии с договором публичной оферты поставки коммунальных ресурсов, размещенном в Липецкой газете № 13/24141 ОТ 25.01.2012, № 824/24652 ОТ 07.02.2014, </w:t>
      </w:r>
    </w:p>
    <w:p w:rsidR="004A3997" w:rsidRPr="003A124A" w:rsidRDefault="004A3997" w:rsidP="004A3997">
      <w:pPr>
        <w:spacing w:after="0" w:line="240" w:lineRule="auto"/>
        <w:jc w:val="both"/>
        <w:rPr>
          <w:rFonts w:ascii="Times New Roman" w:eastAsia="Calibri" w:hAnsi="Times New Roman" w:cs="Times New Roman"/>
          <w:sz w:val="24"/>
        </w:rPr>
      </w:pPr>
      <w:r w:rsidRPr="003A124A">
        <w:rPr>
          <w:rFonts w:ascii="Times New Roman" w:eastAsia="Calibri" w:hAnsi="Times New Roman" w:cs="Times New Roman"/>
          <w:sz w:val="24"/>
        </w:rPr>
        <w:t>ОГУП «</w:t>
      </w:r>
      <w:proofErr w:type="spellStart"/>
      <w:r w:rsidRPr="003A124A">
        <w:rPr>
          <w:rFonts w:ascii="Times New Roman" w:eastAsia="Calibri" w:hAnsi="Times New Roman" w:cs="Times New Roman"/>
          <w:sz w:val="24"/>
        </w:rPr>
        <w:t>Липецкоблводоканал</w:t>
      </w:r>
      <w:proofErr w:type="spellEnd"/>
      <w:r w:rsidRPr="003A124A">
        <w:rPr>
          <w:rFonts w:ascii="Times New Roman" w:eastAsia="Calibri" w:hAnsi="Times New Roman" w:cs="Times New Roman"/>
          <w:sz w:val="24"/>
        </w:rPr>
        <w:t xml:space="preserve">» (поставщик холодного водоснабжения и водоотведения по г. Липецку и Липецкой области), АО «Газпром </w:t>
      </w:r>
      <w:proofErr w:type="spellStart"/>
      <w:r w:rsidRPr="003A124A">
        <w:rPr>
          <w:rFonts w:ascii="Times New Roman" w:eastAsia="Calibri" w:hAnsi="Times New Roman" w:cs="Times New Roman"/>
          <w:sz w:val="24"/>
        </w:rPr>
        <w:t>межрегионгаз</w:t>
      </w:r>
      <w:proofErr w:type="spellEnd"/>
      <w:r w:rsidRPr="003A124A">
        <w:rPr>
          <w:rFonts w:ascii="Times New Roman" w:eastAsia="Calibri" w:hAnsi="Times New Roman" w:cs="Times New Roman"/>
          <w:sz w:val="24"/>
        </w:rPr>
        <w:t xml:space="preserve"> Липецк» (поставщик газа по г. Липецку и Липецкой области) имеют прямые договоры с населением Липецкой области.</w:t>
      </w:r>
    </w:p>
    <w:p w:rsidR="004A3997" w:rsidRPr="003A124A" w:rsidRDefault="004A3997" w:rsidP="004A3997">
      <w:pPr>
        <w:spacing w:after="0" w:line="240" w:lineRule="auto"/>
        <w:jc w:val="both"/>
        <w:rPr>
          <w:rFonts w:ascii="Times New Roman" w:eastAsia="Calibri" w:hAnsi="Times New Roman" w:cs="Times New Roman"/>
          <w:sz w:val="24"/>
        </w:rPr>
      </w:pPr>
    </w:p>
    <w:p w:rsidR="004A3997" w:rsidRPr="003A124A" w:rsidRDefault="004A3997" w:rsidP="004A3997">
      <w:pPr>
        <w:spacing w:after="0" w:line="240" w:lineRule="auto"/>
        <w:jc w:val="both"/>
        <w:rPr>
          <w:rFonts w:ascii="Times New Roman" w:eastAsia="Calibri" w:hAnsi="Times New Roman" w:cs="Times New Roman"/>
          <w:sz w:val="24"/>
        </w:rPr>
      </w:pPr>
      <w:r w:rsidRPr="003A124A">
        <w:rPr>
          <w:rFonts w:ascii="Times New Roman" w:eastAsia="Calibri" w:hAnsi="Times New Roman" w:cs="Times New Roman"/>
          <w:sz w:val="24"/>
        </w:rPr>
        <w:t>1.7.</w:t>
      </w:r>
      <w:r w:rsidRPr="003A124A">
        <w:rPr>
          <w:rFonts w:ascii="Times New Roman" w:eastAsia="Calibri" w:hAnsi="Times New Roman" w:cs="Times New Roman"/>
          <w:sz w:val="24"/>
        </w:rPr>
        <w:tab/>
        <w:t xml:space="preserve">Для некоторых управляющих компаний (ТСЖ) г. Липецк начисление платы за ремонт и содержание жилья, сбор и вывоз мусора, коммунальные ресурсы, потребленные при содержании общедомового имущества, осуществляют расчётные центры. При этом стоимость оказываемых ими услуг обсуждается на общих собраниях собственников жилых помещений и, в основном, взимается, исходя из количества квадратных метров. </w:t>
      </w:r>
    </w:p>
    <w:p w:rsidR="00AF0DCD" w:rsidRPr="003A124A" w:rsidRDefault="00AF0DCD" w:rsidP="003A124A">
      <w:pPr>
        <w:tabs>
          <w:tab w:val="left" w:pos="0"/>
        </w:tabs>
        <w:spacing w:after="0" w:line="240" w:lineRule="auto"/>
        <w:contextualSpacing/>
        <w:jc w:val="both"/>
        <w:rPr>
          <w:rFonts w:ascii="Times New Roman" w:eastAsia="Calibri" w:hAnsi="Times New Roman" w:cs="Times New Roman"/>
          <w:sz w:val="24"/>
        </w:rPr>
      </w:pPr>
    </w:p>
    <w:p w:rsidR="00280413" w:rsidRPr="003A124A" w:rsidRDefault="00280413" w:rsidP="00280413">
      <w:pPr>
        <w:tabs>
          <w:tab w:val="left" w:pos="0"/>
        </w:tabs>
        <w:spacing w:after="0" w:line="240" w:lineRule="auto"/>
        <w:ind w:left="432"/>
        <w:contextualSpacing/>
        <w:jc w:val="both"/>
        <w:rPr>
          <w:rFonts w:ascii="Times New Roman" w:hAnsi="Times New Roman"/>
          <w:b/>
          <w:sz w:val="24"/>
        </w:rPr>
      </w:pPr>
      <w:r w:rsidRPr="003A124A">
        <w:rPr>
          <w:rFonts w:ascii="Times New Roman" w:hAnsi="Times New Roman"/>
          <w:b/>
          <w:sz w:val="24"/>
        </w:rPr>
        <w:lastRenderedPageBreak/>
        <w:t>Информация об имеющихся РКЦ/ИРЦ:</w:t>
      </w:r>
    </w:p>
    <w:p w:rsidR="00280413" w:rsidRPr="003A124A" w:rsidRDefault="00280413" w:rsidP="00280413">
      <w:pPr>
        <w:tabs>
          <w:tab w:val="left" w:pos="0"/>
        </w:tabs>
        <w:spacing w:after="0" w:line="240" w:lineRule="auto"/>
        <w:ind w:left="432"/>
        <w:contextualSpacing/>
        <w:jc w:val="both"/>
        <w:rPr>
          <w:rFonts w:ascii="Times New Roman" w:hAnsi="Times New Roman"/>
        </w:rPr>
      </w:pPr>
    </w:p>
    <w:tbl>
      <w:tblPr>
        <w:tblW w:w="9923" w:type="dxa"/>
        <w:tblInd w:w="40" w:type="dxa"/>
        <w:tblLayout w:type="fixed"/>
        <w:tblCellMar>
          <w:left w:w="40" w:type="dxa"/>
          <w:right w:w="40" w:type="dxa"/>
        </w:tblCellMar>
        <w:tblLook w:val="0000" w:firstRow="0" w:lastRow="0" w:firstColumn="0" w:lastColumn="0" w:noHBand="0" w:noVBand="0"/>
      </w:tblPr>
      <w:tblGrid>
        <w:gridCol w:w="426"/>
        <w:gridCol w:w="1275"/>
        <w:gridCol w:w="1701"/>
        <w:gridCol w:w="1418"/>
        <w:gridCol w:w="2835"/>
        <w:gridCol w:w="2268"/>
      </w:tblGrid>
      <w:tr w:rsidR="00280413" w:rsidRPr="003A124A" w:rsidTr="00F262BD">
        <w:trPr>
          <w:trHeight w:val="1569"/>
        </w:trPr>
        <w:tc>
          <w:tcPr>
            <w:tcW w:w="426" w:type="dxa"/>
            <w:tcBorders>
              <w:top w:val="single" w:sz="6" w:space="0" w:color="auto"/>
              <w:left w:val="single" w:sz="6" w:space="0" w:color="auto"/>
              <w:bottom w:val="single" w:sz="6" w:space="0" w:color="auto"/>
              <w:right w:val="single" w:sz="6" w:space="0" w:color="auto"/>
            </w:tcBorders>
          </w:tcPr>
          <w:p w:rsidR="00280413" w:rsidRPr="003A124A" w:rsidRDefault="00280413" w:rsidP="00F262BD">
            <w:pPr>
              <w:pStyle w:val="Style12"/>
              <w:widowControl/>
              <w:spacing w:line="240" w:lineRule="auto"/>
              <w:jc w:val="center"/>
              <w:rPr>
                <w:rStyle w:val="FontStyle28"/>
                <w:rFonts w:eastAsiaTheme="minorEastAsia"/>
                <w:b w:val="0"/>
                <w:color w:val="000000"/>
                <w:sz w:val="22"/>
                <w:szCs w:val="22"/>
              </w:rPr>
            </w:pPr>
            <w:r w:rsidRPr="003A124A">
              <w:rPr>
                <w:rStyle w:val="FontStyle28"/>
                <w:rFonts w:eastAsiaTheme="minorEastAsia"/>
                <w:color w:val="000000"/>
                <w:sz w:val="22"/>
                <w:szCs w:val="22"/>
              </w:rPr>
              <w:t>№ п/п</w:t>
            </w:r>
          </w:p>
        </w:tc>
        <w:tc>
          <w:tcPr>
            <w:tcW w:w="1275" w:type="dxa"/>
            <w:tcBorders>
              <w:top w:val="single" w:sz="6" w:space="0" w:color="auto"/>
              <w:left w:val="single" w:sz="6" w:space="0" w:color="auto"/>
              <w:bottom w:val="single" w:sz="6" w:space="0" w:color="auto"/>
              <w:right w:val="single" w:sz="6" w:space="0" w:color="auto"/>
            </w:tcBorders>
          </w:tcPr>
          <w:p w:rsidR="00280413" w:rsidRPr="003A124A" w:rsidRDefault="00280413" w:rsidP="00F262BD">
            <w:pPr>
              <w:pStyle w:val="Style12"/>
              <w:widowControl/>
              <w:spacing w:line="240" w:lineRule="auto"/>
              <w:jc w:val="center"/>
              <w:rPr>
                <w:rStyle w:val="FontStyle28"/>
                <w:rFonts w:eastAsiaTheme="minorEastAsia"/>
                <w:b w:val="0"/>
                <w:color w:val="000000"/>
                <w:sz w:val="20"/>
                <w:szCs w:val="22"/>
              </w:rPr>
            </w:pPr>
            <w:r w:rsidRPr="003A124A">
              <w:rPr>
                <w:rStyle w:val="FontStyle28"/>
                <w:rFonts w:eastAsiaTheme="minorEastAsia"/>
                <w:color w:val="000000"/>
                <w:sz w:val="20"/>
                <w:szCs w:val="22"/>
              </w:rPr>
              <w:t>Муниципальное образование</w:t>
            </w:r>
          </w:p>
        </w:tc>
        <w:tc>
          <w:tcPr>
            <w:tcW w:w="1701" w:type="dxa"/>
            <w:tcBorders>
              <w:top w:val="single" w:sz="6" w:space="0" w:color="auto"/>
              <w:left w:val="single" w:sz="6" w:space="0" w:color="auto"/>
              <w:bottom w:val="single" w:sz="6" w:space="0" w:color="auto"/>
              <w:right w:val="single" w:sz="6" w:space="0" w:color="auto"/>
            </w:tcBorders>
          </w:tcPr>
          <w:p w:rsidR="00280413" w:rsidRPr="003A124A" w:rsidRDefault="00280413" w:rsidP="00F262BD">
            <w:pPr>
              <w:pStyle w:val="Style12"/>
              <w:widowControl/>
              <w:spacing w:line="240" w:lineRule="auto"/>
              <w:jc w:val="center"/>
              <w:rPr>
                <w:rStyle w:val="FontStyle28"/>
                <w:rFonts w:eastAsiaTheme="minorEastAsia"/>
                <w:b w:val="0"/>
                <w:color w:val="000000"/>
                <w:sz w:val="20"/>
                <w:szCs w:val="22"/>
              </w:rPr>
            </w:pPr>
            <w:r w:rsidRPr="003A124A">
              <w:rPr>
                <w:rStyle w:val="FontStyle28"/>
                <w:rFonts w:eastAsiaTheme="minorEastAsia"/>
                <w:color w:val="000000"/>
                <w:sz w:val="20"/>
                <w:szCs w:val="22"/>
              </w:rPr>
              <w:t>Наименование ИРЦ/РКЦ</w:t>
            </w:r>
          </w:p>
        </w:tc>
        <w:tc>
          <w:tcPr>
            <w:tcW w:w="1418" w:type="dxa"/>
            <w:tcBorders>
              <w:top w:val="single" w:sz="6" w:space="0" w:color="auto"/>
              <w:left w:val="nil"/>
              <w:bottom w:val="single" w:sz="6" w:space="0" w:color="auto"/>
              <w:right w:val="single" w:sz="6" w:space="0" w:color="auto"/>
            </w:tcBorders>
          </w:tcPr>
          <w:p w:rsidR="00280413" w:rsidRPr="003A124A" w:rsidRDefault="00280413" w:rsidP="00F262BD">
            <w:pPr>
              <w:pStyle w:val="Style12"/>
              <w:widowControl/>
              <w:spacing w:line="240" w:lineRule="auto"/>
              <w:jc w:val="center"/>
              <w:rPr>
                <w:rStyle w:val="FontStyle28"/>
                <w:rFonts w:eastAsiaTheme="minorEastAsia"/>
                <w:b w:val="0"/>
                <w:color w:val="000000"/>
                <w:sz w:val="20"/>
                <w:szCs w:val="22"/>
              </w:rPr>
            </w:pPr>
            <w:r w:rsidRPr="003A124A">
              <w:rPr>
                <w:rStyle w:val="FontStyle28"/>
                <w:rFonts w:eastAsiaTheme="minorEastAsia"/>
                <w:color w:val="000000"/>
                <w:sz w:val="20"/>
                <w:szCs w:val="22"/>
              </w:rPr>
              <w:t>Организационно-правовая форма</w:t>
            </w:r>
          </w:p>
        </w:tc>
        <w:tc>
          <w:tcPr>
            <w:tcW w:w="2835" w:type="dxa"/>
            <w:tcBorders>
              <w:top w:val="single" w:sz="6" w:space="0" w:color="auto"/>
              <w:left w:val="single" w:sz="6" w:space="0" w:color="auto"/>
              <w:bottom w:val="single" w:sz="6" w:space="0" w:color="auto"/>
              <w:right w:val="single" w:sz="6" w:space="0" w:color="auto"/>
            </w:tcBorders>
          </w:tcPr>
          <w:p w:rsidR="00280413" w:rsidRPr="003A124A" w:rsidRDefault="00280413" w:rsidP="00F262BD">
            <w:pPr>
              <w:pStyle w:val="Style12"/>
              <w:widowControl/>
              <w:spacing w:line="240" w:lineRule="auto"/>
              <w:jc w:val="center"/>
              <w:rPr>
                <w:rStyle w:val="FontStyle28"/>
                <w:rFonts w:eastAsiaTheme="minorEastAsia"/>
                <w:b w:val="0"/>
                <w:color w:val="000000"/>
                <w:sz w:val="20"/>
                <w:szCs w:val="22"/>
              </w:rPr>
            </w:pPr>
            <w:r w:rsidRPr="003A124A">
              <w:rPr>
                <w:rStyle w:val="FontStyle28"/>
                <w:rFonts w:eastAsiaTheme="minorEastAsia"/>
                <w:color w:val="000000"/>
                <w:sz w:val="20"/>
                <w:szCs w:val="22"/>
              </w:rPr>
              <w:t>Перечень услуг, которые оказывают организации</w:t>
            </w:r>
          </w:p>
        </w:tc>
        <w:tc>
          <w:tcPr>
            <w:tcW w:w="2268" w:type="dxa"/>
            <w:tcBorders>
              <w:top w:val="single" w:sz="6" w:space="0" w:color="auto"/>
              <w:left w:val="single" w:sz="6" w:space="0" w:color="auto"/>
              <w:bottom w:val="single" w:sz="6" w:space="0" w:color="auto"/>
              <w:right w:val="single" w:sz="6" w:space="0" w:color="auto"/>
            </w:tcBorders>
          </w:tcPr>
          <w:p w:rsidR="00280413" w:rsidRPr="003A124A" w:rsidRDefault="00280413" w:rsidP="00F262BD">
            <w:pPr>
              <w:pStyle w:val="Style12"/>
              <w:widowControl/>
              <w:spacing w:line="240" w:lineRule="auto"/>
              <w:jc w:val="center"/>
              <w:rPr>
                <w:rStyle w:val="FontStyle28"/>
                <w:rFonts w:eastAsiaTheme="minorEastAsia"/>
                <w:b w:val="0"/>
                <w:color w:val="000000"/>
                <w:sz w:val="20"/>
                <w:szCs w:val="22"/>
              </w:rPr>
            </w:pPr>
            <w:r w:rsidRPr="003A124A">
              <w:rPr>
                <w:rStyle w:val="FontStyle28"/>
                <w:rFonts w:eastAsiaTheme="minorEastAsia"/>
                <w:color w:val="000000"/>
                <w:sz w:val="20"/>
                <w:szCs w:val="22"/>
              </w:rPr>
              <w:t>Стоимость оказываемых услуг (% вознаграждения) по каждому виду услуг</w:t>
            </w:r>
          </w:p>
        </w:tc>
      </w:tr>
      <w:tr w:rsidR="00280413" w:rsidRPr="003A124A" w:rsidTr="00F262BD">
        <w:tc>
          <w:tcPr>
            <w:tcW w:w="426" w:type="dxa"/>
            <w:tcBorders>
              <w:top w:val="single" w:sz="6" w:space="0" w:color="auto"/>
              <w:left w:val="single" w:sz="6" w:space="0" w:color="auto"/>
              <w:bottom w:val="single" w:sz="6" w:space="0" w:color="auto"/>
              <w:right w:val="single" w:sz="6" w:space="0" w:color="auto"/>
            </w:tcBorders>
          </w:tcPr>
          <w:p w:rsidR="00280413" w:rsidRPr="003A124A" w:rsidRDefault="00280413" w:rsidP="00F262BD">
            <w:pPr>
              <w:pStyle w:val="Style12"/>
              <w:widowControl/>
              <w:spacing w:line="240" w:lineRule="auto"/>
              <w:jc w:val="center"/>
              <w:rPr>
                <w:rStyle w:val="FontStyle28"/>
                <w:rFonts w:eastAsiaTheme="minorEastAsia"/>
                <w:b w:val="0"/>
                <w:color w:val="000000"/>
                <w:sz w:val="22"/>
                <w:szCs w:val="22"/>
              </w:rPr>
            </w:pPr>
            <w:r w:rsidRPr="003A124A">
              <w:rPr>
                <w:rStyle w:val="FontStyle28"/>
                <w:rFonts w:eastAsiaTheme="minorEastAsia"/>
                <w:color w:val="000000"/>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280413" w:rsidRPr="003A124A" w:rsidRDefault="00280413" w:rsidP="00F262BD">
            <w:pPr>
              <w:pStyle w:val="Style12"/>
              <w:widowControl/>
              <w:spacing w:line="240" w:lineRule="auto"/>
              <w:rPr>
                <w:rStyle w:val="FontStyle28"/>
                <w:rFonts w:eastAsiaTheme="minorEastAsia"/>
                <w:b w:val="0"/>
                <w:color w:val="000000"/>
                <w:sz w:val="20"/>
                <w:szCs w:val="22"/>
              </w:rPr>
            </w:pPr>
            <w:r w:rsidRPr="003A124A">
              <w:rPr>
                <w:rStyle w:val="FontStyle24"/>
                <w:sz w:val="20"/>
                <w:szCs w:val="22"/>
              </w:rPr>
              <w:t>город Липецк</w:t>
            </w:r>
          </w:p>
        </w:tc>
        <w:tc>
          <w:tcPr>
            <w:tcW w:w="1701" w:type="dxa"/>
            <w:tcBorders>
              <w:top w:val="single" w:sz="6" w:space="0" w:color="auto"/>
              <w:left w:val="single" w:sz="6" w:space="0" w:color="auto"/>
              <w:bottom w:val="single" w:sz="6" w:space="0" w:color="auto"/>
              <w:right w:val="single" w:sz="6" w:space="0" w:color="auto"/>
            </w:tcBorders>
          </w:tcPr>
          <w:p w:rsidR="00280413" w:rsidRPr="003A124A" w:rsidRDefault="00280413" w:rsidP="00F262BD">
            <w:pPr>
              <w:pStyle w:val="Style13"/>
              <w:widowControl/>
              <w:rPr>
                <w:rStyle w:val="FontStyle24"/>
                <w:b w:val="0"/>
                <w:sz w:val="20"/>
                <w:szCs w:val="22"/>
              </w:rPr>
            </w:pPr>
            <w:r w:rsidRPr="003A124A">
              <w:rPr>
                <w:rStyle w:val="FontStyle24"/>
                <w:sz w:val="20"/>
                <w:szCs w:val="22"/>
              </w:rPr>
              <w:t>ООО «ОВЦ» («Объединенные</w:t>
            </w:r>
          </w:p>
          <w:p w:rsidR="00280413" w:rsidRPr="003A124A" w:rsidRDefault="00280413" w:rsidP="00F262BD">
            <w:pPr>
              <w:pStyle w:val="Style13"/>
              <w:widowControl/>
              <w:rPr>
                <w:rStyle w:val="FontStyle28"/>
                <w:rFonts w:eastAsiaTheme="minorEastAsia"/>
                <w:b w:val="0"/>
                <w:sz w:val="20"/>
                <w:szCs w:val="22"/>
              </w:rPr>
            </w:pPr>
            <w:r w:rsidRPr="003A124A">
              <w:rPr>
                <w:rStyle w:val="FontStyle24"/>
                <w:sz w:val="20"/>
                <w:szCs w:val="22"/>
              </w:rPr>
              <w:t>Вычислительные Центры»)</w:t>
            </w:r>
          </w:p>
        </w:tc>
        <w:tc>
          <w:tcPr>
            <w:tcW w:w="1418" w:type="dxa"/>
            <w:tcBorders>
              <w:top w:val="single" w:sz="6" w:space="0" w:color="auto"/>
              <w:left w:val="nil"/>
              <w:bottom w:val="single" w:sz="6" w:space="0" w:color="auto"/>
              <w:right w:val="single" w:sz="6" w:space="0" w:color="auto"/>
            </w:tcBorders>
          </w:tcPr>
          <w:p w:rsidR="00280413" w:rsidRPr="003A124A" w:rsidRDefault="00280413" w:rsidP="00F262BD">
            <w:pPr>
              <w:pStyle w:val="Style13"/>
              <w:widowControl/>
              <w:rPr>
                <w:rStyle w:val="FontStyle24"/>
                <w:b w:val="0"/>
                <w:sz w:val="20"/>
                <w:szCs w:val="22"/>
              </w:rPr>
            </w:pPr>
            <w:r w:rsidRPr="003A124A">
              <w:rPr>
                <w:rStyle w:val="FontStyle24"/>
                <w:sz w:val="20"/>
                <w:szCs w:val="22"/>
              </w:rPr>
              <w:t>Общество с</w:t>
            </w:r>
          </w:p>
          <w:p w:rsidR="00280413" w:rsidRPr="003A124A" w:rsidRDefault="00280413" w:rsidP="00F262BD">
            <w:pPr>
              <w:pStyle w:val="Style13"/>
              <w:widowControl/>
              <w:rPr>
                <w:rStyle w:val="FontStyle24"/>
                <w:b w:val="0"/>
                <w:sz w:val="20"/>
                <w:szCs w:val="22"/>
              </w:rPr>
            </w:pPr>
            <w:r w:rsidRPr="003A124A">
              <w:rPr>
                <w:rStyle w:val="FontStyle24"/>
                <w:sz w:val="20"/>
                <w:szCs w:val="22"/>
              </w:rPr>
              <w:t>ограниченной</w:t>
            </w:r>
          </w:p>
          <w:p w:rsidR="00280413" w:rsidRPr="003A124A" w:rsidRDefault="00280413" w:rsidP="00F262BD">
            <w:pPr>
              <w:pStyle w:val="Style12"/>
              <w:widowControl/>
              <w:spacing w:line="240" w:lineRule="auto"/>
              <w:rPr>
                <w:rStyle w:val="FontStyle28"/>
                <w:rFonts w:eastAsiaTheme="minorEastAsia"/>
                <w:b w:val="0"/>
                <w:color w:val="000000"/>
                <w:sz w:val="20"/>
                <w:szCs w:val="22"/>
              </w:rPr>
            </w:pPr>
            <w:r w:rsidRPr="003A124A">
              <w:rPr>
                <w:rStyle w:val="FontStyle24"/>
                <w:sz w:val="20"/>
                <w:szCs w:val="22"/>
              </w:rPr>
              <w:t>ответственностью</w:t>
            </w:r>
          </w:p>
        </w:tc>
        <w:tc>
          <w:tcPr>
            <w:tcW w:w="2835" w:type="dxa"/>
            <w:tcBorders>
              <w:top w:val="single" w:sz="6" w:space="0" w:color="auto"/>
              <w:left w:val="single" w:sz="6" w:space="0" w:color="auto"/>
              <w:bottom w:val="single" w:sz="6" w:space="0" w:color="auto"/>
              <w:right w:val="single" w:sz="6" w:space="0" w:color="auto"/>
            </w:tcBorders>
          </w:tcPr>
          <w:p w:rsidR="00280413" w:rsidRPr="003A124A" w:rsidRDefault="00280413" w:rsidP="00F262BD">
            <w:pPr>
              <w:pStyle w:val="Style13"/>
              <w:widowControl/>
              <w:numPr>
                <w:ilvl w:val="0"/>
                <w:numId w:val="1"/>
              </w:numPr>
              <w:ind w:left="243" w:hanging="243"/>
              <w:rPr>
                <w:rStyle w:val="FontStyle24"/>
                <w:b w:val="0"/>
                <w:sz w:val="20"/>
                <w:szCs w:val="22"/>
              </w:rPr>
            </w:pPr>
            <w:r w:rsidRPr="003A124A">
              <w:rPr>
                <w:rStyle w:val="FontStyle24"/>
                <w:sz w:val="20"/>
                <w:szCs w:val="22"/>
              </w:rPr>
              <w:t>Начисление платы за ЖКУ,</w:t>
            </w:r>
          </w:p>
          <w:p w:rsidR="00280413" w:rsidRPr="003A124A" w:rsidRDefault="00280413" w:rsidP="00F262BD">
            <w:pPr>
              <w:pStyle w:val="Style13"/>
              <w:widowControl/>
              <w:numPr>
                <w:ilvl w:val="0"/>
                <w:numId w:val="1"/>
              </w:numPr>
              <w:ind w:left="243" w:hanging="243"/>
              <w:rPr>
                <w:rStyle w:val="FontStyle24"/>
                <w:b w:val="0"/>
                <w:sz w:val="20"/>
                <w:szCs w:val="22"/>
              </w:rPr>
            </w:pPr>
            <w:r w:rsidRPr="003A124A">
              <w:rPr>
                <w:rStyle w:val="FontStyle24"/>
                <w:sz w:val="20"/>
                <w:szCs w:val="22"/>
              </w:rPr>
              <w:t>Формирование и доставка платежных документов,</w:t>
            </w:r>
          </w:p>
          <w:p w:rsidR="00280413" w:rsidRPr="003A124A" w:rsidRDefault="00280413" w:rsidP="00F262BD">
            <w:pPr>
              <w:pStyle w:val="Style13"/>
              <w:widowControl/>
              <w:numPr>
                <w:ilvl w:val="0"/>
                <w:numId w:val="1"/>
              </w:numPr>
              <w:ind w:left="243" w:hanging="243"/>
              <w:rPr>
                <w:rStyle w:val="FontStyle24"/>
                <w:b w:val="0"/>
                <w:sz w:val="20"/>
                <w:szCs w:val="22"/>
              </w:rPr>
            </w:pPr>
            <w:r w:rsidRPr="003A124A">
              <w:rPr>
                <w:rStyle w:val="FontStyle24"/>
                <w:sz w:val="20"/>
                <w:szCs w:val="22"/>
              </w:rPr>
              <w:t>Организация сбора платежей,</w:t>
            </w:r>
          </w:p>
          <w:p w:rsidR="00280413" w:rsidRPr="003A124A" w:rsidRDefault="00280413" w:rsidP="00F262BD">
            <w:pPr>
              <w:pStyle w:val="Style13"/>
              <w:widowControl/>
              <w:numPr>
                <w:ilvl w:val="0"/>
                <w:numId w:val="1"/>
              </w:numPr>
              <w:ind w:left="243" w:hanging="243"/>
              <w:rPr>
                <w:rStyle w:val="FontStyle24"/>
                <w:b w:val="0"/>
                <w:sz w:val="20"/>
                <w:szCs w:val="22"/>
              </w:rPr>
            </w:pPr>
            <w:r w:rsidRPr="003A124A">
              <w:rPr>
                <w:rStyle w:val="FontStyle24"/>
                <w:sz w:val="20"/>
                <w:szCs w:val="22"/>
              </w:rPr>
              <w:t>Учет и перечисление собранных платежей,</w:t>
            </w:r>
          </w:p>
          <w:p w:rsidR="00280413" w:rsidRPr="003A124A" w:rsidRDefault="00280413" w:rsidP="00F262BD">
            <w:pPr>
              <w:pStyle w:val="Style13"/>
              <w:widowControl/>
              <w:numPr>
                <w:ilvl w:val="0"/>
                <w:numId w:val="1"/>
              </w:numPr>
              <w:ind w:left="243" w:hanging="243"/>
              <w:rPr>
                <w:rStyle w:val="FontStyle24"/>
                <w:b w:val="0"/>
                <w:sz w:val="20"/>
                <w:szCs w:val="22"/>
              </w:rPr>
            </w:pPr>
            <w:r w:rsidRPr="003A124A">
              <w:rPr>
                <w:rStyle w:val="FontStyle24"/>
                <w:sz w:val="20"/>
                <w:szCs w:val="22"/>
              </w:rPr>
              <w:t>Первичный приём документов на регистрационный учёт граждан по месту жительства и месту пребывания и снятие с регистрационного учёта.</w:t>
            </w:r>
          </w:p>
        </w:tc>
        <w:tc>
          <w:tcPr>
            <w:tcW w:w="2268" w:type="dxa"/>
            <w:tcBorders>
              <w:top w:val="single" w:sz="6" w:space="0" w:color="auto"/>
              <w:left w:val="single" w:sz="6" w:space="0" w:color="auto"/>
              <w:bottom w:val="single" w:sz="6" w:space="0" w:color="auto"/>
              <w:right w:val="single" w:sz="6" w:space="0" w:color="auto"/>
            </w:tcBorders>
          </w:tcPr>
          <w:p w:rsidR="00280413" w:rsidRPr="003A124A" w:rsidRDefault="00280413" w:rsidP="00F262BD">
            <w:pPr>
              <w:pStyle w:val="Style13"/>
              <w:widowControl/>
              <w:rPr>
                <w:rStyle w:val="FontStyle28"/>
                <w:rFonts w:eastAsiaTheme="minorEastAsia"/>
                <w:b w:val="0"/>
                <w:sz w:val="20"/>
                <w:szCs w:val="22"/>
              </w:rPr>
            </w:pPr>
            <w:r w:rsidRPr="003A124A">
              <w:rPr>
                <w:rStyle w:val="FontStyle28"/>
                <w:rFonts w:eastAsiaTheme="minorEastAsia"/>
                <w:sz w:val="20"/>
                <w:szCs w:val="22"/>
              </w:rPr>
              <w:t xml:space="preserve">0,37-0,65 руб. за 1 </w:t>
            </w:r>
            <w:proofErr w:type="spellStart"/>
            <w:r w:rsidRPr="003A124A">
              <w:rPr>
                <w:rStyle w:val="FontStyle28"/>
                <w:rFonts w:eastAsiaTheme="minorEastAsia"/>
                <w:sz w:val="20"/>
                <w:szCs w:val="22"/>
              </w:rPr>
              <w:t>кв.м</w:t>
            </w:r>
            <w:proofErr w:type="spellEnd"/>
            <w:r w:rsidRPr="003A124A">
              <w:rPr>
                <w:rStyle w:val="FontStyle28"/>
                <w:rFonts w:eastAsiaTheme="minorEastAsia"/>
                <w:sz w:val="20"/>
                <w:szCs w:val="22"/>
              </w:rPr>
              <w:t xml:space="preserve"> площади обслуживаемых многоквартирных домов,</w:t>
            </w:r>
          </w:p>
          <w:p w:rsidR="00280413" w:rsidRPr="003A124A" w:rsidRDefault="00280413" w:rsidP="00F262BD">
            <w:pPr>
              <w:pStyle w:val="Style13"/>
              <w:widowControl/>
              <w:rPr>
                <w:rStyle w:val="FontStyle28"/>
                <w:rFonts w:eastAsiaTheme="minorEastAsia"/>
                <w:b w:val="0"/>
                <w:sz w:val="20"/>
                <w:szCs w:val="22"/>
              </w:rPr>
            </w:pPr>
          </w:p>
          <w:p w:rsidR="00280413" w:rsidRPr="003A124A" w:rsidRDefault="00280413" w:rsidP="00F262BD">
            <w:pPr>
              <w:pStyle w:val="Style13"/>
              <w:widowControl/>
              <w:rPr>
                <w:rStyle w:val="FontStyle28"/>
                <w:rFonts w:eastAsiaTheme="minorEastAsia"/>
                <w:b w:val="0"/>
                <w:sz w:val="20"/>
                <w:szCs w:val="22"/>
              </w:rPr>
            </w:pPr>
            <w:r w:rsidRPr="003A124A">
              <w:rPr>
                <w:rStyle w:val="FontStyle28"/>
                <w:rFonts w:eastAsiaTheme="minorEastAsia"/>
                <w:sz w:val="20"/>
                <w:szCs w:val="22"/>
              </w:rPr>
              <w:t>11,0-25,0 руб. за обслуживание одного финансово-лицевого счёта,</w:t>
            </w:r>
          </w:p>
          <w:p w:rsidR="00280413" w:rsidRPr="003A124A" w:rsidRDefault="00280413" w:rsidP="00F262BD">
            <w:pPr>
              <w:pStyle w:val="Style13"/>
              <w:widowControl/>
              <w:rPr>
                <w:rStyle w:val="FontStyle28"/>
                <w:rFonts w:eastAsiaTheme="minorEastAsia"/>
                <w:b w:val="0"/>
                <w:sz w:val="20"/>
                <w:szCs w:val="22"/>
              </w:rPr>
            </w:pPr>
          </w:p>
          <w:p w:rsidR="00280413" w:rsidRPr="003A124A" w:rsidRDefault="00280413" w:rsidP="00F262BD">
            <w:pPr>
              <w:pStyle w:val="Style13"/>
              <w:widowControl/>
              <w:rPr>
                <w:rStyle w:val="FontStyle28"/>
                <w:rFonts w:eastAsiaTheme="minorEastAsia"/>
                <w:b w:val="0"/>
                <w:sz w:val="20"/>
                <w:szCs w:val="22"/>
              </w:rPr>
            </w:pPr>
            <w:r w:rsidRPr="003A124A">
              <w:rPr>
                <w:rStyle w:val="FontStyle28"/>
                <w:rFonts w:eastAsiaTheme="minorEastAsia"/>
                <w:sz w:val="20"/>
                <w:szCs w:val="22"/>
              </w:rPr>
              <w:t xml:space="preserve">Стоимость услуг по </w:t>
            </w:r>
            <w:r w:rsidRPr="003A124A">
              <w:rPr>
                <w:rStyle w:val="FontStyle24"/>
                <w:sz w:val="20"/>
                <w:szCs w:val="22"/>
              </w:rPr>
              <w:t>организации сбора платежей</w:t>
            </w:r>
            <w:r w:rsidRPr="003A124A">
              <w:rPr>
                <w:rStyle w:val="FontStyle28"/>
                <w:rFonts w:eastAsiaTheme="minorEastAsia"/>
                <w:sz w:val="20"/>
                <w:szCs w:val="22"/>
              </w:rPr>
              <w:t xml:space="preserve"> – 1,5-2,0% от суммы собранных денежных средств</w:t>
            </w:r>
          </w:p>
        </w:tc>
      </w:tr>
      <w:tr w:rsidR="00280413" w:rsidRPr="003A124A" w:rsidTr="00F262BD">
        <w:tc>
          <w:tcPr>
            <w:tcW w:w="426" w:type="dxa"/>
            <w:tcBorders>
              <w:top w:val="single" w:sz="6" w:space="0" w:color="auto"/>
              <w:left w:val="single" w:sz="6" w:space="0" w:color="auto"/>
              <w:bottom w:val="single" w:sz="6" w:space="0" w:color="auto"/>
              <w:right w:val="single" w:sz="6" w:space="0" w:color="auto"/>
            </w:tcBorders>
          </w:tcPr>
          <w:p w:rsidR="00280413" w:rsidRPr="003A124A" w:rsidRDefault="00280413" w:rsidP="00F262BD">
            <w:pPr>
              <w:pStyle w:val="Style12"/>
              <w:widowControl/>
              <w:spacing w:line="240" w:lineRule="auto"/>
              <w:jc w:val="center"/>
              <w:rPr>
                <w:rStyle w:val="FontStyle28"/>
                <w:rFonts w:eastAsiaTheme="minorEastAsia"/>
                <w:b w:val="0"/>
                <w:color w:val="000000"/>
                <w:sz w:val="22"/>
                <w:szCs w:val="22"/>
              </w:rPr>
            </w:pPr>
            <w:r w:rsidRPr="003A124A">
              <w:rPr>
                <w:rStyle w:val="FontStyle28"/>
                <w:rFonts w:eastAsiaTheme="minorEastAsia"/>
                <w:color w:val="000000"/>
                <w:sz w:val="22"/>
                <w:szCs w:val="22"/>
              </w:rPr>
              <w:t>2</w:t>
            </w:r>
          </w:p>
        </w:tc>
        <w:tc>
          <w:tcPr>
            <w:tcW w:w="1275" w:type="dxa"/>
            <w:tcBorders>
              <w:top w:val="single" w:sz="6" w:space="0" w:color="auto"/>
              <w:left w:val="single" w:sz="6" w:space="0" w:color="auto"/>
              <w:bottom w:val="single" w:sz="6" w:space="0" w:color="auto"/>
              <w:right w:val="single" w:sz="6" w:space="0" w:color="auto"/>
            </w:tcBorders>
          </w:tcPr>
          <w:p w:rsidR="00280413" w:rsidRPr="003A124A" w:rsidRDefault="00280413" w:rsidP="00F262BD">
            <w:pPr>
              <w:pStyle w:val="Style12"/>
              <w:widowControl/>
              <w:spacing w:line="240" w:lineRule="auto"/>
              <w:rPr>
                <w:rStyle w:val="FontStyle24"/>
                <w:b w:val="0"/>
                <w:sz w:val="20"/>
                <w:szCs w:val="22"/>
              </w:rPr>
            </w:pPr>
            <w:r w:rsidRPr="003A124A">
              <w:rPr>
                <w:rStyle w:val="FontStyle24"/>
                <w:sz w:val="20"/>
                <w:szCs w:val="22"/>
              </w:rPr>
              <w:t>город Липецк</w:t>
            </w:r>
          </w:p>
        </w:tc>
        <w:tc>
          <w:tcPr>
            <w:tcW w:w="1701" w:type="dxa"/>
            <w:tcBorders>
              <w:top w:val="single" w:sz="6" w:space="0" w:color="auto"/>
              <w:left w:val="single" w:sz="6" w:space="0" w:color="auto"/>
              <w:bottom w:val="single" w:sz="6" w:space="0" w:color="auto"/>
              <w:right w:val="single" w:sz="6" w:space="0" w:color="auto"/>
            </w:tcBorders>
          </w:tcPr>
          <w:p w:rsidR="00280413" w:rsidRPr="003A124A" w:rsidRDefault="00280413" w:rsidP="00F262BD">
            <w:pPr>
              <w:pStyle w:val="Style13"/>
              <w:widowControl/>
              <w:rPr>
                <w:rStyle w:val="FontStyle24"/>
                <w:b w:val="0"/>
                <w:sz w:val="20"/>
                <w:szCs w:val="22"/>
              </w:rPr>
            </w:pPr>
            <w:r w:rsidRPr="003A124A">
              <w:rPr>
                <w:rFonts w:ascii="Times New Roman" w:hAnsi="Times New Roman"/>
                <w:sz w:val="20"/>
                <w:szCs w:val="22"/>
              </w:rPr>
              <w:t>МУП «РВЦЛ» (</w:t>
            </w:r>
            <w:r w:rsidRPr="003A124A">
              <w:rPr>
                <w:rStyle w:val="FontStyle24"/>
                <w:sz w:val="20"/>
                <w:szCs w:val="22"/>
              </w:rPr>
              <w:t>«Регистрационно-вычислительный центр г. Липецка»</w:t>
            </w:r>
            <w:r w:rsidRPr="003A124A">
              <w:rPr>
                <w:rFonts w:ascii="Times New Roman" w:hAnsi="Times New Roman"/>
                <w:sz w:val="20"/>
                <w:szCs w:val="22"/>
              </w:rPr>
              <w:t>)</w:t>
            </w:r>
          </w:p>
        </w:tc>
        <w:tc>
          <w:tcPr>
            <w:tcW w:w="1418" w:type="dxa"/>
            <w:tcBorders>
              <w:top w:val="single" w:sz="6" w:space="0" w:color="auto"/>
              <w:left w:val="nil"/>
              <w:bottom w:val="single" w:sz="6" w:space="0" w:color="auto"/>
              <w:right w:val="single" w:sz="6" w:space="0" w:color="auto"/>
            </w:tcBorders>
          </w:tcPr>
          <w:p w:rsidR="00280413" w:rsidRPr="003A124A" w:rsidRDefault="00280413" w:rsidP="00F262BD">
            <w:pPr>
              <w:pStyle w:val="Style13"/>
              <w:widowControl/>
              <w:rPr>
                <w:rStyle w:val="FontStyle24"/>
                <w:b w:val="0"/>
                <w:sz w:val="20"/>
                <w:szCs w:val="22"/>
              </w:rPr>
            </w:pPr>
            <w:r w:rsidRPr="003A124A">
              <w:rPr>
                <w:rStyle w:val="FontStyle24"/>
                <w:sz w:val="20"/>
                <w:szCs w:val="22"/>
              </w:rPr>
              <w:t>Муниципальное унитарное предприятие</w:t>
            </w:r>
          </w:p>
        </w:tc>
        <w:tc>
          <w:tcPr>
            <w:tcW w:w="2835" w:type="dxa"/>
            <w:tcBorders>
              <w:top w:val="single" w:sz="6" w:space="0" w:color="auto"/>
              <w:left w:val="single" w:sz="6" w:space="0" w:color="auto"/>
              <w:bottom w:val="single" w:sz="6" w:space="0" w:color="auto"/>
              <w:right w:val="single" w:sz="6" w:space="0" w:color="auto"/>
            </w:tcBorders>
          </w:tcPr>
          <w:p w:rsidR="00280413" w:rsidRPr="003A124A" w:rsidRDefault="00280413" w:rsidP="00280413">
            <w:pPr>
              <w:pStyle w:val="Style13"/>
              <w:widowControl/>
              <w:numPr>
                <w:ilvl w:val="0"/>
                <w:numId w:val="3"/>
              </w:numPr>
              <w:ind w:left="243" w:hanging="243"/>
              <w:rPr>
                <w:rStyle w:val="FontStyle24"/>
                <w:b w:val="0"/>
                <w:sz w:val="20"/>
                <w:szCs w:val="22"/>
              </w:rPr>
            </w:pPr>
            <w:r w:rsidRPr="003A124A">
              <w:rPr>
                <w:rStyle w:val="FontStyle24"/>
                <w:sz w:val="20"/>
                <w:szCs w:val="22"/>
              </w:rPr>
              <w:t>Ведение электронных баз лицевых счетов (начисление, учёт оплаты);</w:t>
            </w:r>
          </w:p>
          <w:p w:rsidR="00280413" w:rsidRPr="003A124A" w:rsidRDefault="00280413" w:rsidP="00280413">
            <w:pPr>
              <w:pStyle w:val="Style13"/>
              <w:widowControl/>
              <w:numPr>
                <w:ilvl w:val="0"/>
                <w:numId w:val="3"/>
              </w:numPr>
              <w:ind w:left="243" w:hanging="243"/>
              <w:rPr>
                <w:rStyle w:val="FontStyle24"/>
                <w:b w:val="0"/>
                <w:sz w:val="20"/>
                <w:szCs w:val="22"/>
              </w:rPr>
            </w:pPr>
            <w:r w:rsidRPr="003A124A">
              <w:rPr>
                <w:rStyle w:val="FontStyle24"/>
                <w:sz w:val="20"/>
                <w:szCs w:val="22"/>
              </w:rPr>
              <w:t>Регистрационный учёт граждан (паспортный стол);</w:t>
            </w:r>
          </w:p>
          <w:p w:rsidR="00280413" w:rsidRPr="003A124A" w:rsidRDefault="00280413" w:rsidP="00280413">
            <w:pPr>
              <w:pStyle w:val="Style13"/>
              <w:widowControl/>
              <w:numPr>
                <w:ilvl w:val="0"/>
                <w:numId w:val="3"/>
              </w:numPr>
              <w:ind w:left="243" w:hanging="243"/>
              <w:rPr>
                <w:rStyle w:val="FontStyle24"/>
                <w:b w:val="0"/>
                <w:sz w:val="20"/>
                <w:szCs w:val="22"/>
              </w:rPr>
            </w:pPr>
            <w:r w:rsidRPr="003A124A">
              <w:rPr>
                <w:rStyle w:val="FontStyle24"/>
                <w:sz w:val="20"/>
                <w:szCs w:val="22"/>
              </w:rPr>
              <w:t>Организация сбора платежей.</w:t>
            </w:r>
          </w:p>
        </w:tc>
        <w:tc>
          <w:tcPr>
            <w:tcW w:w="2268" w:type="dxa"/>
            <w:tcBorders>
              <w:top w:val="single" w:sz="6" w:space="0" w:color="auto"/>
              <w:left w:val="single" w:sz="6" w:space="0" w:color="auto"/>
              <w:bottom w:val="single" w:sz="6" w:space="0" w:color="auto"/>
              <w:right w:val="single" w:sz="6" w:space="0" w:color="auto"/>
            </w:tcBorders>
          </w:tcPr>
          <w:p w:rsidR="00280413" w:rsidRPr="003A124A" w:rsidRDefault="00280413" w:rsidP="00F262BD">
            <w:pPr>
              <w:pStyle w:val="Style13"/>
              <w:widowControl/>
              <w:rPr>
                <w:rStyle w:val="FontStyle24"/>
                <w:b w:val="0"/>
                <w:sz w:val="20"/>
                <w:szCs w:val="22"/>
              </w:rPr>
            </w:pPr>
            <w:r w:rsidRPr="003A124A">
              <w:rPr>
                <w:rStyle w:val="FontStyle24"/>
                <w:sz w:val="20"/>
                <w:szCs w:val="22"/>
              </w:rPr>
              <w:t xml:space="preserve">0,65-0,70 руб. за 1 </w:t>
            </w:r>
            <w:proofErr w:type="spellStart"/>
            <w:r w:rsidRPr="003A124A">
              <w:rPr>
                <w:rStyle w:val="FontStyle24"/>
                <w:sz w:val="20"/>
                <w:szCs w:val="22"/>
              </w:rPr>
              <w:t>кв.м</w:t>
            </w:r>
            <w:proofErr w:type="spellEnd"/>
            <w:r w:rsidRPr="003A124A">
              <w:rPr>
                <w:rStyle w:val="FontStyle28"/>
                <w:rFonts w:eastAsiaTheme="minorEastAsia"/>
                <w:sz w:val="20"/>
                <w:szCs w:val="22"/>
              </w:rPr>
              <w:t xml:space="preserve"> площади обслуживаемых многоквартирных домов</w:t>
            </w:r>
            <w:r w:rsidRPr="003A124A">
              <w:rPr>
                <w:rStyle w:val="FontStyle24"/>
                <w:sz w:val="20"/>
                <w:szCs w:val="22"/>
              </w:rPr>
              <w:t>,</w:t>
            </w:r>
          </w:p>
          <w:p w:rsidR="00280413" w:rsidRPr="003A124A" w:rsidRDefault="00280413" w:rsidP="00F262BD">
            <w:pPr>
              <w:pStyle w:val="Style13"/>
              <w:widowControl/>
              <w:rPr>
                <w:rStyle w:val="FontStyle24"/>
                <w:b w:val="0"/>
                <w:sz w:val="20"/>
                <w:szCs w:val="22"/>
              </w:rPr>
            </w:pPr>
          </w:p>
          <w:p w:rsidR="00280413" w:rsidRPr="003A124A" w:rsidRDefault="00280413" w:rsidP="00F262BD">
            <w:pPr>
              <w:pStyle w:val="Style13"/>
              <w:widowControl/>
              <w:rPr>
                <w:rStyle w:val="FontStyle24"/>
                <w:b w:val="0"/>
                <w:sz w:val="20"/>
                <w:szCs w:val="22"/>
              </w:rPr>
            </w:pPr>
            <w:r w:rsidRPr="003A124A">
              <w:rPr>
                <w:rStyle w:val="FontStyle24"/>
                <w:sz w:val="20"/>
                <w:szCs w:val="22"/>
              </w:rPr>
              <w:t>Организация сбора платежей – 1,77-2,0%  от суммы</w:t>
            </w:r>
          </w:p>
        </w:tc>
      </w:tr>
      <w:tr w:rsidR="00280413" w:rsidRPr="003A124A" w:rsidTr="00F262BD">
        <w:tc>
          <w:tcPr>
            <w:tcW w:w="426" w:type="dxa"/>
            <w:tcBorders>
              <w:top w:val="single" w:sz="6" w:space="0" w:color="auto"/>
              <w:left w:val="single" w:sz="6" w:space="0" w:color="auto"/>
              <w:bottom w:val="single" w:sz="6" w:space="0" w:color="auto"/>
              <w:right w:val="single" w:sz="6" w:space="0" w:color="auto"/>
            </w:tcBorders>
          </w:tcPr>
          <w:p w:rsidR="00280413" w:rsidRPr="003A124A" w:rsidRDefault="00280413" w:rsidP="00F262BD">
            <w:pPr>
              <w:pStyle w:val="Style12"/>
              <w:widowControl/>
              <w:spacing w:line="240" w:lineRule="auto"/>
              <w:jc w:val="center"/>
              <w:rPr>
                <w:rStyle w:val="FontStyle28"/>
                <w:rFonts w:eastAsiaTheme="minorEastAsia"/>
                <w:b w:val="0"/>
                <w:color w:val="000000"/>
                <w:sz w:val="22"/>
                <w:szCs w:val="22"/>
              </w:rPr>
            </w:pPr>
            <w:r w:rsidRPr="003A124A">
              <w:rPr>
                <w:rStyle w:val="FontStyle28"/>
                <w:rFonts w:eastAsiaTheme="minorEastAsia"/>
                <w:color w:val="000000"/>
                <w:sz w:val="22"/>
                <w:szCs w:val="22"/>
              </w:rPr>
              <w:t>3</w:t>
            </w:r>
          </w:p>
        </w:tc>
        <w:tc>
          <w:tcPr>
            <w:tcW w:w="1275" w:type="dxa"/>
            <w:tcBorders>
              <w:top w:val="single" w:sz="6" w:space="0" w:color="auto"/>
              <w:left w:val="single" w:sz="6" w:space="0" w:color="auto"/>
              <w:bottom w:val="single" w:sz="6" w:space="0" w:color="auto"/>
              <w:right w:val="single" w:sz="6" w:space="0" w:color="auto"/>
            </w:tcBorders>
          </w:tcPr>
          <w:p w:rsidR="00280413" w:rsidRPr="003A124A" w:rsidRDefault="00280413" w:rsidP="00F262BD">
            <w:pPr>
              <w:pStyle w:val="Style12"/>
              <w:widowControl/>
              <w:spacing w:line="240" w:lineRule="auto"/>
              <w:rPr>
                <w:rStyle w:val="FontStyle24"/>
                <w:b w:val="0"/>
                <w:sz w:val="20"/>
                <w:szCs w:val="22"/>
              </w:rPr>
            </w:pPr>
            <w:r w:rsidRPr="003A124A">
              <w:rPr>
                <w:rStyle w:val="FontStyle24"/>
                <w:sz w:val="20"/>
                <w:szCs w:val="22"/>
              </w:rPr>
              <w:t>город Липецк</w:t>
            </w:r>
          </w:p>
        </w:tc>
        <w:tc>
          <w:tcPr>
            <w:tcW w:w="1701" w:type="dxa"/>
            <w:tcBorders>
              <w:top w:val="single" w:sz="6" w:space="0" w:color="auto"/>
              <w:left w:val="single" w:sz="6" w:space="0" w:color="auto"/>
              <w:bottom w:val="single" w:sz="6" w:space="0" w:color="auto"/>
              <w:right w:val="single" w:sz="6" w:space="0" w:color="auto"/>
            </w:tcBorders>
          </w:tcPr>
          <w:p w:rsidR="00280413" w:rsidRPr="003A124A" w:rsidRDefault="00280413" w:rsidP="00F262BD">
            <w:pPr>
              <w:pStyle w:val="Style13"/>
              <w:widowControl/>
              <w:rPr>
                <w:rFonts w:ascii="Times New Roman" w:hAnsi="Times New Roman"/>
                <w:sz w:val="20"/>
                <w:szCs w:val="22"/>
              </w:rPr>
            </w:pPr>
            <w:r w:rsidRPr="003A124A">
              <w:rPr>
                <w:rFonts w:ascii="Times New Roman" w:hAnsi="Times New Roman"/>
                <w:sz w:val="20"/>
                <w:szCs w:val="22"/>
              </w:rPr>
              <w:t>ООО «Единый расчетный центр»</w:t>
            </w:r>
          </w:p>
        </w:tc>
        <w:tc>
          <w:tcPr>
            <w:tcW w:w="1418" w:type="dxa"/>
            <w:tcBorders>
              <w:top w:val="single" w:sz="6" w:space="0" w:color="auto"/>
              <w:left w:val="nil"/>
              <w:bottom w:val="single" w:sz="6" w:space="0" w:color="auto"/>
              <w:right w:val="single" w:sz="6" w:space="0" w:color="auto"/>
            </w:tcBorders>
          </w:tcPr>
          <w:p w:rsidR="00280413" w:rsidRPr="003A124A" w:rsidRDefault="00280413" w:rsidP="00F262BD">
            <w:pPr>
              <w:pStyle w:val="Style13"/>
              <w:widowControl/>
              <w:rPr>
                <w:rStyle w:val="FontStyle24"/>
                <w:b w:val="0"/>
                <w:sz w:val="20"/>
                <w:szCs w:val="22"/>
              </w:rPr>
            </w:pPr>
            <w:r w:rsidRPr="003A124A">
              <w:rPr>
                <w:rStyle w:val="FontStyle24"/>
                <w:sz w:val="20"/>
                <w:szCs w:val="22"/>
              </w:rPr>
              <w:t>Общество с</w:t>
            </w:r>
          </w:p>
          <w:p w:rsidR="00280413" w:rsidRPr="003A124A" w:rsidRDefault="00280413" w:rsidP="00F262BD">
            <w:pPr>
              <w:pStyle w:val="Style13"/>
              <w:widowControl/>
              <w:rPr>
                <w:rStyle w:val="FontStyle24"/>
                <w:b w:val="0"/>
                <w:sz w:val="20"/>
                <w:szCs w:val="22"/>
              </w:rPr>
            </w:pPr>
            <w:r w:rsidRPr="003A124A">
              <w:rPr>
                <w:rStyle w:val="FontStyle24"/>
                <w:sz w:val="20"/>
                <w:szCs w:val="22"/>
              </w:rPr>
              <w:t>ограниченной</w:t>
            </w:r>
          </w:p>
          <w:p w:rsidR="00280413" w:rsidRPr="003A124A" w:rsidRDefault="00280413" w:rsidP="00F262BD">
            <w:pPr>
              <w:pStyle w:val="Style13"/>
              <w:widowControl/>
              <w:rPr>
                <w:rStyle w:val="FontStyle24"/>
                <w:b w:val="0"/>
                <w:sz w:val="20"/>
                <w:szCs w:val="22"/>
              </w:rPr>
            </w:pPr>
            <w:r w:rsidRPr="003A124A">
              <w:rPr>
                <w:rStyle w:val="FontStyle24"/>
                <w:sz w:val="20"/>
                <w:szCs w:val="22"/>
              </w:rPr>
              <w:t>ответственностью</w:t>
            </w:r>
          </w:p>
        </w:tc>
        <w:tc>
          <w:tcPr>
            <w:tcW w:w="2835" w:type="dxa"/>
            <w:tcBorders>
              <w:top w:val="single" w:sz="6" w:space="0" w:color="auto"/>
              <w:left w:val="single" w:sz="6" w:space="0" w:color="auto"/>
              <w:bottom w:val="single" w:sz="6" w:space="0" w:color="auto"/>
              <w:right w:val="single" w:sz="6" w:space="0" w:color="auto"/>
            </w:tcBorders>
          </w:tcPr>
          <w:p w:rsidR="00280413" w:rsidRPr="003A124A" w:rsidRDefault="00280413" w:rsidP="00280413">
            <w:pPr>
              <w:pStyle w:val="Style13"/>
              <w:widowControl/>
              <w:numPr>
                <w:ilvl w:val="0"/>
                <w:numId w:val="4"/>
              </w:numPr>
              <w:ind w:left="243" w:hanging="243"/>
              <w:rPr>
                <w:rFonts w:ascii="Times New Roman" w:hAnsi="Times New Roman" w:cs="Times New Roman"/>
                <w:bCs/>
                <w:sz w:val="20"/>
                <w:szCs w:val="22"/>
              </w:rPr>
            </w:pPr>
            <w:r w:rsidRPr="003A124A">
              <w:rPr>
                <w:rFonts w:ascii="Times New Roman" w:hAnsi="Times New Roman" w:cs="Times New Roman"/>
                <w:sz w:val="20"/>
                <w:szCs w:val="22"/>
              </w:rPr>
              <w:t>Ведение лицевых счетов на жилые и нежилые помещения многоквартирных домов, находящихся в управлении Заказчика;</w:t>
            </w:r>
          </w:p>
          <w:p w:rsidR="00280413" w:rsidRPr="003A124A" w:rsidRDefault="00280413" w:rsidP="00280413">
            <w:pPr>
              <w:pStyle w:val="Style13"/>
              <w:widowControl/>
              <w:numPr>
                <w:ilvl w:val="0"/>
                <w:numId w:val="4"/>
              </w:numPr>
              <w:ind w:left="243" w:hanging="243"/>
              <w:rPr>
                <w:rFonts w:ascii="Times New Roman" w:hAnsi="Times New Roman" w:cs="Times New Roman"/>
                <w:bCs/>
                <w:sz w:val="20"/>
                <w:szCs w:val="22"/>
              </w:rPr>
            </w:pPr>
            <w:r w:rsidRPr="003A124A">
              <w:rPr>
                <w:rFonts w:ascii="Times New Roman" w:hAnsi="Times New Roman" w:cs="Times New Roman"/>
                <w:sz w:val="20"/>
                <w:szCs w:val="22"/>
              </w:rPr>
              <w:t xml:space="preserve">Начисление платы за содержание и ремонт жилья; </w:t>
            </w:r>
          </w:p>
          <w:p w:rsidR="00280413" w:rsidRPr="003A124A" w:rsidRDefault="00280413" w:rsidP="00280413">
            <w:pPr>
              <w:pStyle w:val="Style13"/>
              <w:widowControl/>
              <w:numPr>
                <w:ilvl w:val="0"/>
                <w:numId w:val="4"/>
              </w:numPr>
              <w:ind w:left="243" w:hanging="243"/>
              <w:rPr>
                <w:rStyle w:val="FontStyle24"/>
                <w:b w:val="0"/>
                <w:sz w:val="20"/>
                <w:szCs w:val="22"/>
              </w:rPr>
            </w:pPr>
            <w:r w:rsidRPr="003A124A">
              <w:rPr>
                <w:rFonts w:ascii="Times New Roman" w:hAnsi="Times New Roman" w:cs="Times New Roman"/>
                <w:sz w:val="20"/>
                <w:szCs w:val="22"/>
              </w:rPr>
              <w:t>Перечисление собранных денежных средств в порядке, предусмотренном заключенными договорами.</w:t>
            </w:r>
          </w:p>
        </w:tc>
        <w:tc>
          <w:tcPr>
            <w:tcW w:w="2268" w:type="dxa"/>
            <w:tcBorders>
              <w:top w:val="single" w:sz="6" w:space="0" w:color="auto"/>
              <w:left w:val="single" w:sz="6" w:space="0" w:color="auto"/>
              <w:bottom w:val="single" w:sz="6" w:space="0" w:color="auto"/>
              <w:right w:val="single" w:sz="6" w:space="0" w:color="auto"/>
            </w:tcBorders>
          </w:tcPr>
          <w:p w:rsidR="00280413" w:rsidRPr="003A124A" w:rsidRDefault="00280413" w:rsidP="00F262BD">
            <w:pPr>
              <w:pStyle w:val="Style13"/>
              <w:widowControl/>
              <w:rPr>
                <w:rStyle w:val="FontStyle24"/>
                <w:b w:val="0"/>
                <w:sz w:val="20"/>
                <w:szCs w:val="22"/>
              </w:rPr>
            </w:pPr>
            <w:r w:rsidRPr="003A124A">
              <w:rPr>
                <w:rStyle w:val="FontStyle24"/>
                <w:sz w:val="20"/>
                <w:szCs w:val="22"/>
              </w:rPr>
              <w:t xml:space="preserve">0,40 руб. за 1 </w:t>
            </w:r>
            <w:proofErr w:type="spellStart"/>
            <w:r w:rsidRPr="003A124A">
              <w:rPr>
                <w:rStyle w:val="FontStyle24"/>
                <w:sz w:val="20"/>
                <w:szCs w:val="22"/>
              </w:rPr>
              <w:t>кв.м</w:t>
            </w:r>
            <w:proofErr w:type="spellEnd"/>
            <w:r w:rsidRPr="003A124A">
              <w:rPr>
                <w:rStyle w:val="FontStyle28"/>
                <w:rFonts w:eastAsiaTheme="minorEastAsia"/>
                <w:sz w:val="20"/>
                <w:szCs w:val="22"/>
              </w:rPr>
              <w:t xml:space="preserve"> площади обслуживаемых многоквартирных домов</w:t>
            </w:r>
            <w:r w:rsidRPr="003A124A">
              <w:rPr>
                <w:rStyle w:val="FontStyle24"/>
                <w:sz w:val="20"/>
                <w:szCs w:val="22"/>
              </w:rPr>
              <w:t>,</w:t>
            </w:r>
          </w:p>
          <w:p w:rsidR="00280413" w:rsidRPr="003A124A" w:rsidRDefault="00280413" w:rsidP="00F262BD">
            <w:pPr>
              <w:pStyle w:val="Style13"/>
              <w:widowControl/>
              <w:rPr>
                <w:rStyle w:val="FontStyle24"/>
                <w:b w:val="0"/>
                <w:sz w:val="20"/>
                <w:szCs w:val="22"/>
              </w:rPr>
            </w:pPr>
          </w:p>
          <w:p w:rsidR="00280413" w:rsidRPr="003A124A" w:rsidRDefault="00280413" w:rsidP="00F262BD">
            <w:pPr>
              <w:pStyle w:val="Style13"/>
              <w:widowControl/>
              <w:rPr>
                <w:rStyle w:val="FontStyle24"/>
                <w:b w:val="0"/>
                <w:sz w:val="20"/>
                <w:szCs w:val="22"/>
              </w:rPr>
            </w:pPr>
            <w:r w:rsidRPr="003A124A">
              <w:rPr>
                <w:rStyle w:val="FontStyle24"/>
                <w:sz w:val="20"/>
                <w:szCs w:val="22"/>
              </w:rPr>
              <w:t xml:space="preserve">0,38 руб. за 1 </w:t>
            </w:r>
            <w:proofErr w:type="spellStart"/>
            <w:r w:rsidRPr="003A124A">
              <w:rPr>
                <w:rStyle w:val="FontStyle24"/>
                <w:sz w:val="20"/>
                <w:szCs w:val="22"/>
              </w:rPr>
              <w:t>кв.м</w:t>
            </w:r>
            <w:proofErr w:type="spellEnd"/>
            <w:r w:rsidRPr="003A124A">
              <w:rPr>
                <w:rStyle w:val="FontStyle24"/>
                <w:sz w:val="20"/>
                <w:szCs w:val="22"/>
              </w:rPr>
              <w:t xml:space="preserve"> – для управляющей компании ОГУП «ЛОКК» в г. Грязи</w:t>
            </w:r>
          </w:p>
        </w:tc>
      </w:tr>
    </w:tbl>
    <w:p w:rsidR="00280413" w:rsidRPr="003A124A" w:rsidRDefault="00280413" w:rsidP="00280413">
      <w:pPr>
        <w:spacing w:after="0" w:line="240" w:lineRule="auto"/>
        <w:ind w:firstLine="708"/>
        <w:jc w:val="both"/>
        <w:rPr>
          <w:rFonts w:ascii="Times New Roman" w:hAnsi="Times New Roman" w:cs="Times New Roman"/>
          <w:i/>
        </w:rPr>
      </w:pPr>
    </w:p>
    <w:p w:rsidR="00280413" w:rsidRPr="003A124A" w:rsidRDefault="00280413" w:rsidP="004A3997">
      <w:pPr>
        <w:spacing w:after="0" w:line="240" w:lineRule="auto"/>
        <w:jc w:val="both"/>
        <w:rPr>
          <w:rFonts w:ascii="Times New Roman" w:eastAsia="Calibri" w:hAnsi="Times New Roman" w:cs="Times New Roman"/>
        </w:rPr>
      </w:pPr>
    </w:p>
    <w:p w:rsidR="00AF0DCD" w:rsidRPr="003A124A" w:rsidRDefault="00AF0DCD" w:rsidP="00AF0DCD">
      <w:pPr>
        <w:spacing w:after="0" w:line="240" w:lineRule="auto"/>
        <w:ind w:firstLine="708"/>
        <w:jc w:val="both"/>
        <w:rPr>
          <w:rFonts w:ascii="Times New Roman" w:eastAsia="Calibri" w:hAnsi="Times New Roman" w:cs="Times New Roman"/>
          <w:sz w:val="24"/>
        </w:rPr>
      </w:pPr>
      <w:r w:rsidRPr="003A124A">
        <w:rPr>
          <w:rFonts w:ascii="Times New Roman" w:eastAsia="Calibri" w:hAnsi="Times New Roman" w:cs="Times New Roman"/>
          <w:sz w:val="24"/>
        </w:rPr>
        <w:t xml:space="preserve">Порядок оплаты коммунальных услуг в многоквартирном доме зависит от выбранного жильцами способа управления, а право начисления и взимания платы за предоставленные собственникам, нанимателям помещений многоквартирных домов коммунальные услуги, принадлежит лицу, в том числе </w:t>
      </w:r>
      <w:proofErr w:type="spellStart"/>
      <w:r w:rsidRPr="003A124A">
        <w:rPr>
          <w:rFonts w:ascii="Times New Roman" w:eastAsia="Calibri" w:hAnsi="Times New Roman" w:cs="Times New Roman"/>
          <w:sz w:val="24"/>
        </w:rPr>
        <w:t>ресурсоснабжающей</w:t>
      </w:r>
      <w:proofErr w:type="spellEnd"/>
      <w:r w:rsidRPr="003A124A">
        <w:rPr>
          <w:rFonts w:ascii="Times New Roman" w:eastAsia="Calibri" w:hAnsi="Times New Roman" w:cs="Times New Roman"/>
          <w:sz w:val="24"/>
        </w:rPr>
        <w:t xml:space="preserve"> организации, на основании принятого в установленном законом порядке решения общего собрания собственников помещений в многоквартирном доме о внесении платы за коммунальные услуги конкретной </w:t>
      </w:r>
      <w:proofErr w:type="spellStart"/>
      <w:r w:rsidRPr="003A124A">
        <w:rPr>
          <w:rFonts w:ascii="Times New Roman" w:eastAsia="Calibri" w:hAnsi="Times New Roman" w:cs="Times New Roman"/>
          <w:sz w:val="24"/>
        </w:rPr>
        <w:t>ресурсоснабжающей</w:t>
      </w:r>
      <w:proofErr w:type="spellEnd"/>
      <w:r w:rsidRPr="003A124A">
        <w:rPr>
          <w:rFonts w:ascii="Times New Roman" w:eastAsia="Calibri" w:hAnsi="Times New Roman" w:cs="Times New Roman"/>
          <w:sz w:val="24"/>
        </w:rPr>
        <w:t xml:space="preserve"> организации.</w:t>
      </w:r>
    </w:p>
    <w:p w:rsidR="004A3997" w:rsidRDefault="004A3997" w:rsidP="0046107A">
      <w:pPr>
        <w:spacing w:after="0" w:line="240" w:lineRule="auto"/>
        <w:jc w:val="both"/>
        <w:rPr>
          <w:rFonts w:ascii="Times New Roman" w:eastAsia="Calibri" w:hAnsi="Times New Roman" w:cs="Times New Roman"/>
          <w:sz w:val="24"/>
        </w:rPr>
      </w:pPr>
    </w:p>
    <w:p w:rsidR="003A124A" w:rsidRDefault="003A124A" w:rsidP="0046107A">
      <w:pPr>
        <w:spacing w:after="0" w:line="240" w:lineRule="auto"/>
        <w:jc w:val="both"/>
        <w:rPr>
          <w:rFonts w:ascii="Times New Roman" w:eastAsia="Calibri" w:hAnsi="Times New Roman" w:cs="Times New Roman"/>
          <w:sz w:val="24"/>
        </w:rPr>
      </w:pPr>
    </w:p>
    <w:p w:rsidR="003A124A" w:rsidRDefault="003A124A" w:rsidP="0046107A">
      <w:pPr>
        <w:spacing w:after="0" w:line="240" w:lineRule="auto"/>
        <w:jc w:val="both"/>
        <w:rPr>
          <w:rFonts w:ascii="Times New Roman" w:eastAsia="Calibri" w:hAnsi="Times New Roman" w:cs="Times New Roman"/>
          <w:sz w:val="24"/>
        </w:rPr>
      </w:pPr>
    </w:p>
    <w:p w:rsidR="003A124A" w:rsidRDefault="003A124A" w:rsidP="0046107A">
      <w:pPr>
        <w:spacing w:after="0" w:line="240" w:lineRule="auto"/>
        <w:jc w:val="both"/>
        <w:rPr>
          <w:rFonts w:ascii="Times New Roman" w:eastAsia="Calibri" w:hAnsi="Times New Roman" w:cs="Times New Roman"/>
          <w:sz w:val="24"/>
        </w:rPr>
      </w:pPr>
    </w:p>
    <w:p w:rsidR="003A124A" w:rsidRDefault="003A124A" w:rsidP="0046107A">
      <w:pPr>
        <w:spacing w:after="0" w:line="240" w:lineRule="auto"/>
        <w:jc w:val="both"/>
        <w:rPr>
          <w:rFonts w:ascii="Times New Roman" w:eastAsia="Calibri" w:hAnsi="Times New Roman" w:cs="Times New Roman"/>
          <w:sz w:val="24"/>
        </w:rPr>
      </w:pPr>
    </w:p>
    <w:p w:rsidR="003A124A" w:rsidRDefault="003A124A" w:rsidP="0046107A">
      <w:pPr>
        <w:spacing w:after="0" w:line="240" w:lineRule="auto"/>
        <w:jc w:val="both"/>
        <w:rPr>
          <w:rFonts w:ascii="Times New Roman" w:eastAsia="Calibri" w:hAnsi="Times New Roman" w:cs="Times New Roman"/>
          <w:sz w:val="24"/>
        </w:rPr>
      </w:pPr>
    </w:p>
    <w:p w:rsidR="0094450A" w:rsidRDefault="0094450A" w:rsidP="0046107A">
      <w:pPr>
        <w:spacing w:after="0" w:line="240" w:lineRule="auto"/>
        <w:jc w:val="both"/>
        <w:rPr>
          <w:rFonts w:ascii="Times New Roman" w:eastAsia="Calibri" w:hAnsi="Times New Roman" w:cs="Times New Roman"/>
          <w:sz w:val="24"/>
        </w:rPr>
      </w:pPr>
    </w:p>
    <w:p w:rsidR="0094450A" w:rsidRDefault="0094450A" w:rsidP="0046107A">
      <w:pPr>
        <w:spacing w:after="0" w:line="240" w:lineRule="auto"/>
        <w:jc w:val="both"/>
        <w:rPr>
          <w:rFonts w:ascii="Times New Roman" w:eastAsia="Calibri" w:hAnsi="Times New Roman" w:cs="Times New Roman"/>
          <w:sz w:val="24"/>
        </w:rPr>
      </w:pPr>
    </w:p>
    <w:p w:rsidR="003A124A" w:rsidRDefault="003A124A" w:rsidP="003A124A">
      <w:pPr>
        <w:spacing w:after="0" w:line="240" w:lineRule="auto"/>
        <w:jc w:val="center"/>
        <w:rPr>
          <w:rFonts w:ascii="Times New Roman" w:eastAsia="Calibri" w:hAnsi="Times New Roman" w:cs="Times New Roman"/>
          <w:b/>
          <w:sz w:val="28"/>
        </w:rPr>
      </w:pPr>
    </w:p>
    <w:p w:rsidR="003A124A" w:rsidRDefault="003A124A" w:rsidP="003A124A">
      <w:pPr>
        <w:spacing w:after="0" w:line="240" w:lineRule="auto"/>
        <w:jc w:val="center"/>
        <w:rPr>
          <w:rFonts w:ascii="Times New Roman" w:eastAsia="Calibri" w:hAnsi="Times New Roman" w:cs="Times New Roman"/>
          <w:b/>
          <w:sz w:val="28"/>
        </w:rPr>
      </w:pPr>
      <w:r w:rsidRPr="003A124A">
        <w:rPr>
          <w:rFonts w:ascii="Times New Roman" w:eastAsia="Calibri" w:hAnsi="Times New Roman" w:cs="Times New Roman"/>
          <w:b/>
          <w:sz w:val="28"/>
        </w:rPr>
        <w:lastRenderedPageBreak/>
        <w:t>Для заметок:</w:t>
      </w:r>
    </w:p>
    <w:p w:rsidR="003A124A" w:rsidRDefault="003A124A" w:rsidP="003A124A">
      <w:pPr>
        <w:spacing w:after="0" w:line="240" w:lineRule="auto"/>
        <w:jc w:val="center"/>
        <w:rPr>
          <w:rFonts w:ascii="Times New Roman" w:eastAsia="Calibri" w:hAnsi="Times New Roman" w:cs="Times New Roman"/>
          <w:b/>
          <w:sz w:val="28"/>
        </w:rPr>
      </w:pPr>
    </w:p>
    <w:p w:rsidR="003A124A" w:rsidRPr="003A124A" w:rsidRDefault="003A124A" w:rsidP="003A124A">
      <w:pPr>
        <w:tabs>
          <w:tab w:val="left" w:pos="885"/>
        </w:tabs>
        <w:spacing w:after="0" w:line="240" w:lineRule="auto"/>
        <w:rPr>
          <w:rFonts w:ascii="Times New Roman" w:eastAsia="Calibri" w:hAnsi="Times New Roman" w:cs="Times New Roman"/>
          <w:sz w:val="28"/>
        </w:rPr>
      </w:pPr>
      <w:r>
        <w:rPr>
          <w:rFonts w:ascii="Times New Roman" w:eastAsia="Calibri" w:hAnsi="Times New Roman" w:cs="Times New Roman"/>
          <w:b/>
          <w:sz w:val="28"/>
        </w:rPr>
        <w:t>___________________________________________________________________________________________________________________________________________________________________________________________________________________________</w:t>
      </w:r>
      <w:r>
        <w:rPr>
          <w:rFonts w:ascii="Times New Roman" w:eastAsia="Calibri" w:hAnsi="Times New Roman" w:cs="Times New Roman"/>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A124A" w:rsidRPr="003A124A" w:rsidSect="003A124A">
      <w:pgSz w:w="11906" w:h="16838"/>
      <w:pgMar w:top="426" w:right="707"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AF0403"/>
    <w:multiLevelType w:val="hybridMultilevel"/>
    <w:tmpl w:val="1D268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974633C"/>
    <w:multiLevelType w:val="hybridMultilevel"/>
    <w:tmpl w:val="7188CCD4"/>
    <w:lvl w:ilvl="0" w:tplc="9E583BF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E684C9E"/>
    <w:multiLevelType w:val="hybridMultilevel"/>
    <w:tmpl w:val="19808A3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E047BEB"/>
    <w:multiLevelType w:val="multilevel"/>
    <w:tmpl w:val="0BFAF322"/>
    <w:lvl w:ilvl="0">
      <w:start w:val="1"/>
      <w:numFmt w:val="decimal"/>
      <w:lvlText w:val="%1."/>
      <w:lvlJc w:val="left"/>
      <w:pPr>
        <w:ind w:left="432" w:hanging="432"/>
      </w:pPr>
      <w:rPr>
        <w:rFonts w:hint="default"/>
        <w:b w:val="0"/>
      </w:rPr>
    </w:lvl>
    <w:lvl w:ilvl="1">
      <w:start w:val="3"/>
      <w:numFmt w:val="decimal"/>
      <w:lvlText w:val="%1.%2."/>
      <w:lvlJc w:val="left"/>
      <w:pPr>
        <w:ind w:left="862"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5EB22382"/>
    <w:multiLevelType w:val="hybridMultilevel"/>
    <w:tmpl w:val="F1AE63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688F126A"/>
    <w:multiLevelType w:val="hybridMultilevel"/>
    <w:tmpl w:val="41106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877"/>
    <w:rsid w:val="000B04E7"/>
    <w:rsid w:val="000B0FEE"/>
    <w:rsid w:val="000B7FE2"/>
    <w:rsid w:val="000E1E68"/>
    <w:rsid w:val="001A1806"/>
    <w:rsid w:val="001B566F"/>
    <w:rsid w:val="001B5FBC"/>
    <w:rsid w:val="001F0BC2"/>
    <w:rsid w:val="00280413"/>
    <w:rsid w:val="002A4909"/>
    <w:rsid w:val="002B5FEC"/>
    <w:rsid w:val="002D4F23"/>
    <w:rsid w:val="00327C6C"/>
    <w:rsid w:val="00330AF7"/>
    <w:rsid w:val="003A124A"/>
    <w:rsid w:val="00426DA7"/>
    <w:rsid w:val="00440CAF"/>
    <w:rsid w:val="0046107A"/>
    <w:rsid w:val="004979B8"/>
    <w:rsid w:val="004A3997"/>
    <w:rsid w:val="00513056"/>
    <w:rsid w:val="005253DD"/>
    <w:rsid w:val="00566CEB"/>
    <w:rsid w:val="00624C06"/>
    <w:rsid w:val="00631BAF"/>
    <w:rsid w:val="00677E47"/>
    <w:rsid w:val="0068586D"/>
    <w:rsid w:val="0068719E"/>
    <w:rsid w:val="006C4938"/>
    <w:rsid w:val="006E1B3F"/>
    <w:rsid w:val="006E2B91"/>
    <w:rsid w:val="00743AA6"/>
    <w:rsid w:val="0074558C"/>
    <w:rsid w:val="00750D28"/>
    <w:rsid w:val="007725FE"/>
    <w:rsid w:val="007B678C"/>
    <w:rsid w:val="00802321"/>
    <w:rsid w:val="00804119"/>
    <w:rsid w:val="00873D99"/>
    <w:rsid w:val="0091473B"/>
    <w:rsid w:val="00941685"/>
    <w:rsid w:val="00944407"/>
    <w:rsid w:val="0094450A"/>
    <w:rsid w:val="009702BD"/>
    <w:rsid w:val="009D0834"/>
    <w:rsid w:val="009F16D8"/>
    <w:rsid w:val="00A95FD2"/>
    <w:rsid w:val="00AF0DCD"/>
    <w:rsid w:val="00B6311F"/>
    <w:rsid w:val="00B64BBB"/>
    <w:rsid w:val="00BA3F8A"/>
    <w:rsid w:val="00CA7C01"/>
    <w:rsid w:val="00CE3477"/>
    <w:rsid w:val="00D10848"/>
    <w:rsid w:val="00DB3238"/>
    <w:rsid w:val="00E13A4C"/>
    <w:rsid w:val="00E3022C"/>
    <w:rsid w:val="00E8217D"/>
    <w:rsid w:val="00ED1877"/>
    <w:rsid w:val="00F6261A"/>
    <w:rsid w:val="00FA06EE"/>
    <w:rsid w:val="00FB1195"/>
    <w:rsid w:val="00FD293B"/>
    <w:rsid w:val="00FF3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886098-624E-4D0B-A101-95CF25E0A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187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ED1877"/>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ED1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D18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1877"/>
    <w:rPr>
      <w:rFonts w:ascii="Tahoma" w:eastAsiaTheme="minorEastAsia" w:hAnsi="Tahoma" w:cs="Tahoma"/>
      <w:sz w:val="16"/>
      <w:szCs w:val="16"/>
      <w:lang w:eastAsia="ru-RU"/>
    </w:rPr>
  </w:style>
  <w:style w:type="paragraph" w:customStyle="1" w:styleId="Style12">
    <w:name w:val="Style12"/>
    <w:basedOn w:val="a"/>
    <w:uiPriority w:val="99"/>
    <w:rsid w:val="004A3997"/>
    <w:pPr>
      <w:widowControl w:val="0"/>
      <w:autoSpaceDE w:val="0"/>
      <w:autoSpaceDN w:val="0"/>
      <w:adjustRightInd w:val="0"/>
      <w:spacing w:after="0" w:line="226" w:lineRule="exact"/>
    </w:pPr>
    <w:rPr>
      <w:rFonts w:ascii="Times New Roman" w:eastAsia="Times New Roman" w:hAnsi="Times New Roman" w:cs="Times New Roman"/>
      <w:sz w:val="24"/>
      <w:szCs w:val="24"/>
    </w:rPr>
  </w:style>
  <w:style w:type="character" w:customStyle="1" w:styleId="FontStyle28">
    <w:name w:val="Font Style28"/>
    <w:uiPriority w:val="99"/>
    <w:rsid w:val="004A3997"/>
    <w:rPr>
      <w:rFonts w:ascii="Times New Roman" w:hAnsi="Times New Roman" w:cs="Times New Roman"/>
      <w:b/>
      <w:bCs/>
      <w:sz w:val="16"/>
      <w:szCs w:val="16"/>
    </w:rPr>
  </w:style>
  <w:style w:type="character" w:customStyle="1" w:styleId="FontStyle24">
    <w:name w:val="Font Style24"/>
    <w:uiPriority w:val="99"/>
    <w:rsid w:val="004A3997"/>
    <w:rPr>
      <w:rFonts w:ascii="Times New Roman" w:hAnsi="Times New Roman" w:cs="Times New Roman"/>
      <w:b/>
      <w:bCs/>
      <w:sz w:val="14"/>
      <w:szCs w:val="14"/>
    </w:rPr>
  </w:style>
  <w:style w:type="paragraph" w:customStyle="1" w:styleId="Style13">
    <w:name w:val="Style13"/>
    <w:basedOn w:val="a"/>
    <w:uiPriority w:val="99"/>
    <w:rsid w:val="004A3997"/>
    <w:pPr>
      <w:widowControl w:val="0"/>
      <w:autoSpaceDE w:val="0"/>
      <w:autoSpaceDN w:val="0"/>
      <w:adjustRightInd w:val="0"/>
      <w:spacing w:after="0" w:line="240" w:lineRule="auto"/>
    </w:pPr>
    <w:rPr>
      <w:rFonts w:ascii="Tahoma" w:eastAsia="Times New Roman" w:hAnsi="Tahoma" w:cs="Tahoma"/>
      <w:sz w:val="24"/>
      <w:szCs w:val="24"/>
    </w:rPr>
  </w:style>
  <w:style w:type="paragraph" w:styleId="a6">
    <w:name w:val="List Paragraph"/>
    <w:basedOn w:val="a"/>
    <w:uiPriority w:val="34"/>
    <w:qFormat/>
    <w:rsid w:val="004A3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5D43F-D8C0-4AE6-BF04-4DE9ECBE3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3772</Words>
  <Characters>21504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Жданова Дарья Дмитриевна</dc:creator>
  <cp:lastModifiedBy>Тарабрина Дарья Дмитриевна</cp:lastModifiedBy>
  <cp:revision>4</cp:revision>
  <cp:lastPrinted>2017-08-14T12:17:00Z</cp:lastPrinted>
  <dcterms:created xsi:type="dcterms:W3CDTF">2017-08-24T05:49:00Z</dcterms:created>
  <dcterms:modified xsi:type="dcterms:W3CDTF">2017-08-24T05:56:00Z</dcterms:modified>
</cp:coreProperties>
</file>